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5BB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75947F7B" wp14:editId="0631CE38">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86E9274"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4F53D24" w14:textId="77777777" w:rsidR="0037286D" w:rsidRPr="007B0C40" w:rsidRDefault="0037286D" w:rsidP="007B0C40">
      <w:pPr>
        <w:pStyle w:val="Header"/>
        <w:ind w:firstLine="720"/>
        <w:rPr>
          <w:rFonts w:ascii="Aptos" w:hAnsi="Aptos" w:cs="Times New Roman"/>
          <w:sz w:val="24"/>
          <w:szCs w:val="24"/>
        </w:rPr>
      </w:pPr>
    </w:p>
    <w:p w14:paraId="3F374F1E" w14:textId="28C5C22E" w:rsidR="0037286D" w:rsidRPr="007B0C40" w:rsidRDefault="0037286D" w:rsidP="007B0C40">
      <w:pPr>
        <w:pStyle w:val="Header"/>
        <w:jc w:val="center"/>
        <w:rPr>
          <w:rFonts w:ascii="Aptos" w:hAnsi="Aptos" w:cs="Times New Roman"/>
          <w:sz w:val="24"/>
          <w:szCs w:val="24"/>
        </w:rPr>
      </w:pPr>
      <w:r w:rsidRPr="007B0C40">
        <w:rPr>
          <w:rFonts w:ascii="Aptos" w:hAnsi="Aptos" w:cs="Times New Roman"/>
          <w:sz w:val="24"/>
          <w:szCs w:val="24"/>
        </w:rPr>
        <w:t>RFx No.:</w:t>
      </w:r>
      <w:r w:rsidR="00BA7A9E" w:rsidRPr="00BA7A9E">
        <w:rPr>
          <w:rFonts w:ascii="Aptos" w:hAnsi="Aptos" w:cs="Times New Roman"/>
          <w:sz w:val="24"/>
          <w:szCs w:val="24"/>
        </w:rPr>
        <w:t xml:space="preserve"> </w:t>
      </w:r>
      <w:r w:rsidR="00BA7A9E">
        <w:rPr>
          <w:rFonts w:ascii="Aptos" w:hAnsi="Aptos" w:cs="Times New Roman"/>
          <w:sz w:val="24"/>
          <w:szCs w:val="24"/>
        </w:rPr>
        <w:t>30000</w:t>
      </w:r>
      <w:r w:rsidR="00476241">
        <w:rPr>
          <w:rFonts w:ascii="Aptos" w:hAnsi="Aptos" w:cs="Times New Roman"/>
          <w:sz w:val="24"/>
          <w:szCs w:val="24"/>
        </w:rPr>
        <w:t>26484</w:t>
      </w:r>
      <w:r w:rsidRPr="007B0C40">
        <w:rPr>
          <w:rFonts w:ascii="Aptos" w:hAnsi="Aptos" w:cs="Times New Roman"/>
          <w:sz w:val="24"/>
          <w:szCs w:val="24"/>
        </w:rPr>
        <w:tab/>
        <w:t>Title:</w:t>
      </w:r>
      <w:r w:rsidR="00BA7A9E" w:rsidRPr="00BA7A9E">
        <w:rPr>
          <w:rFonts w:ascii="Aptos" w:hAnsi="Aptos" w:cs="Times New Roman"/>
          <w:sz w:val="24"/>
          <w:szCs w:val="24"/>
        </w:rPr>
        <w:t xml:space="preserve"> </w:t>
      </w:r>
      <w:r w:rsidR="00BA7A9E">
        <w:rPr>
          <w:rFonts w:ascii="Aptos" w:hAnsi="Aptos" w:cs="Times New Roman"/>
          <w:sz w:val="24"/>
          <w:szCs w:val="24"/>
        </w:rPr>
        <w:t>Ambulance Services for DOC - RCC</w:t>
      </w:r>
    </w:p>
    <w:p w14:paraId="13FBDB87" w14:textId="77777777" w:rsidR="00CA73D6" w:rsidRPr="007B0C40" w:rsidRDefault="00CA73D6" w:rsidP="007B0C40">
      <w:pPr>
        <w:spacing w:after="0" w:line="240" w:lineRule="auto"/>
        <w:rPr>
          <w:rFonts w:ascii="Aptos" w:hAnsi="Aptos" w:cs="Times New Roman"/>
          <w:b/>
          <w:bCs/>
          <w:sz w:val="24"/>
          <w:szCs w:val="24"/>
        </w:rPr>
      </w:pPr>
    </w:p>
    <w:p w14:paraId="40217953" w14:textId="1A488EFB"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099F216D" w14:textId="1B51251A"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38D20BD8" w14:textId="77777777" w:rsidR="00941E1A" w:rsidRPr="007B0C40" w:rsidRDefault="00941E1A" w:rsidP="007B0C40">
      <w:pPr>
        <w:pStyle w:val="Default"/>
        <w:ind w:left="540"/>
        <w:rPr>
          <w:rFonts w:ascii="Aptos" w:hAnsi="Aptos"/>
        </w:rPr>
      </w:pPr>
    </w:p>
    <w:p w14:paraId="6D1D2E9D" w14:textId="5F0D5A8A"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13923260" w14:textId="77777777" w:rsidR="00983322" w:rsidRPr="007B0C40" w:rsidRDefault="00983322" w:rsidP="007B0C40">
      <w:pPr>
        <w:pStyle w:val="Default"/>
        <w:ind w:left="540" w:hanging="540"/>
        <w:rPr>
          <w:rFonts w:ascii="Aptos" w:hAnsi="Aptos"/>
        </w:rPr>
      </w:pPr>
    </w:p>
    <w:p w14:paraId="6AA351BB" w14:textId="1E574D4E"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1683705E" w14:textId="163D75C4"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4B7A7C2C" w14:textId="4EDB9E2B"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34FA7C67" w14:textId="5A4FB9C7" w:rsidR="00983322" w:rsidRPr="007B0C40" w:rsidRDefault="00983322" w:rsidP="007B0C40">
      <w:pPr>
        <w:pStyle w:val="Default"/>
        <w:ind w:left="540"/>
        <w:rPr>
          <w:rFonts w:ascii="Aptos" w:hAnsi="Aptos"/>
        </w:rPr>
      </w:pPr>
      <w:r w:rsidRPr="007B0C40">
        <w:rPr>
          <w:rFonts w:ascii="Aptos" w:hAnsi="Aptos"/>
        </w:rPr>
        <w:t>Baton Rouge, LA 70802</w:t>
      </w:r>
    </w:p>
    <w:p w14:paraId="08833BC9" w14:textId="77777777" w:rsidR="00983322" w:rsidRPr="007B0C40" w:rsidRDefault="00983322" w:rsidP="007B0C40">
      <w:pPr>
        <w:pStyle w:val="Default"/>
        <w:ind w:left="540" w:hanging="540"/>
        <w:rPr>
          <w:rFonts w:ascii="Aptos" w:hAnsi="Aptos"/>
        </w:rPr>
      </w:pPr>
    </w:p>
    <w:p w14:paraId="2D99429F" w14:textId="3F96DF2F"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6B9D94DE" w14:textId="77777777" w:rsidR="00983322" w:rsidRPr="007B0C40" w:rsidRDefault="00983322" w:rsidP="007B0C40">
      <w:pPr>
        <w:pStyle w:val="Default"/>
        <w:ind w:left="540" w:hanging="540"/>
        <w:rPr>
          <w:rFonts w:ascii="Aptos" w:hAnsi="Aptos"/>
        </w:rPr>
      </w:pPr>
    </w:p>
    <w:p w14:paraId="1764F0F4" w14:textId="16B8A96A"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167C6E20" w14:textId="77777777" w:rsidR="00983322" w:rsidRPr="007B0C40" w:rsidRDefault="00983322" w:rsidP="007B0C40">
      <w:pPr>
        <w:pStyle w:val="Default"/>
        <w:ind w:left="540" w:hanging="540"/>
        <w:rPr>
          <w:rFonts w:ascii="Aptos" w:hAnsi="Aptos"/>
        </w:rPr>
      </w:pPr>
    </w:p>
    <w:p w14:paraId="3E997EEB" w14:textId="56188DEA"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21A6C72D" w14:textId="77777777" w:rsidR="00983322" w:rsidRPr="007B0C40" w:rsidRDefault="00983322" w:rsidP="007B0C40">
      <w:pPr>
        <w:pStyle w:val="Default"/>
        <w:ind w:left="540" w:hanging="540"/>
        <w:rPr>
          <w:rFonts w:ascii="Aptos" w:hAnsi="Aptos"/>
        </w:rPr>
      </w:pPr>
    </w:p>
    <w:p w14:paraId="1633DFF8" w14:textId="04329333"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5F23DFAB" w14:textId="77777777" w:rsidR="00983322" w:rsidRPr="007B0C40" w:rsidRDefault="00983322" w:rsidP="007B0C40">
      <w:pPr>
        <w:pStyle w:val="Default"/>
        <w:ind w:left="540" w:hanging="540"/>
        <w:rPr>
          <w:rFonts w:ascii="Aptos" w:hAnsi="Aptos"/>
        </w:rPr>
      </w:pPr>
    </w:p>
    <w:p w14:paraId="7E489442" w14:textId="2D03D1A4"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16CB2D2"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214EC19" w14:textId="068E5C98"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77B22B55"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09355B30" w14:textId="176EAD93"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6A85DBF8"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0D6C50B9" w14:textId="48F9359A"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0F618A79" w14:textId="0974B178"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C09FF74" w14:textId="23BAA463"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1699C129" w14:textId="77777777" w:rsidR="00305D3E" w:rsidRPr="007B0C40" w:rsidRDefault="00305D3E" w:rsidP="007B0C40">
      <w:pPr>
        <w:spacing w:after="0" w:line="240" w:lineRule="auto"/>
        <w:ind w:left="540" w:right="184" w:hanging="540"/>
        <w:rPr>
          <w:rFonts w:ascii="Aptos" w:hAnsi="Aptos" w:cs="Times New Roman"/>
          <w:sz w:val="24"/>
          <w:szCs w:val="24"/>
        </w:rPr>
      </w:pPr>
    </w:p>
    <w:p w14:paraId="23940854" w14:textId="4A413A10"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01104E78" w14:textId="6F1219D4"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699EFDCD" w14:textId="2475C444"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137B81C2" w14:textId="29AEC89F"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7B0C40">
        <w:rPr>
          <w:rFonts w:ascii="Aptos" w:eastAsia="PMingLiU" w:hAnsi="Aptos" w:cs="Times New Roman"/>
          <w:sz w:val="24"/>
          <w:szCs w:val="24"/>
          <w:lang w:eastAsia="zh-TW"/>
        </w:rPr>
        <w:t>of</w:t>
      </w:r>
      <w:proofErr w:type="gramEnd"/>
      <w:r w:rsidRPr="007B0C40">
        <w:rPr>
          <w:rFonts w:ascii="Aptos" w:eastAsia="PMingLiU" w:hAnsi="Aptos" w:cs="Times New Roman"/>
          <w:sz w:val="24"/>
          <w:szCs w:val="24"/>
          <w:lang w:eastAsia="zh-TW"/>
        </w:rPr>
        <w:t xml:space="preserve"> the Office of State Procurement.</w:t>
      </w:r>
    </w:p>
    <w:p w14:paraId="042DBE15"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69E1CD7F" w14:textId="31534711" w:rsidR="00305D3E" w:rsidRPr="007B0C40" w:rsidRDefault="00305D3E" w:rsidP="007B0C40">
      <w:pPr>
        <w:pStyle w:val="Style1"/>
        <w:jc w:val="left"/>
        <w:rPr>
          <w:rFonts w:ascii="Aptos" w:hAnsi="Aptos"/>
        </w:rPr>
      </w:pPr>
      <w:r w:rsidRPr="007B0C40">
        <w:rPr>
          <w:rFonts w:ascii="Aptos" w:hAnsi="Aptos"/>
        </w:rPr>
        <w:t xml:space="preserve">Prices: </w:t>
      </w:r>
    </w:p>
    <w:p w14:paraId="16955EE0"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B6573C4"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E170F79" w14:textId="1DCBE653"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55B99D1A" w14:textId="35D1657F"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4CCCC9EF"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676BA758" w14:textId="3D2F9CA4" w:rsidR="00305D3E" w:rsidRPr="007B0C40" w:rsidRDefault="00305D3E" w:rsidP="007B0C40">
      <w:pPr>
        <w:pStyle w:val="Style1"/>
        <w:jc w:val="left"/>
        <w:rPr>
          <w:rFonts w:ascii="Aptos" w:hAnsi="Aptos"/>
        </w:rPr>
      </w:pPr>
      <w:r w:rsidRPr="007B0C40">
        <w:rPr>
          <w:rFonts w:ascii="Aptos" w:hAnsi="Aptos"/>
        </w:rPr>
        <w:t>Freight Charges:</w:t>
      </w:r>
    </w:p>
    <w:p w14:paraId="27FFCCC9" w14:textId="1BB2E110"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B60117D"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4F8BB36A" w14:textId="3870D4A4" w:rsidR="00C6062F" w:rsidRPr="007B0C40" w:rsidRDefault="006E09BB" w:rsidP="007B0C40">
      <w:pPr>
        <w:pStyle w:val="Style1"/>
        <w:jc w:val="left"/>
        <w:rPr>
          <w:rFonts w:ascii="Aptos" w:hAnsi="Aptos"/>
        </w:rPr>
      </w:pPr>
      <w:r w:rsidRPr="007B0C40">
        <w:rPr>
          <w:rFonts w:ascii="Aptos" w:hAnsi="Aptos"/>
        </w:rPr>
        <w:t xml:space="preserve">Payment:  </w:t>
      </w:r>
    </w:p>
    <w:p w14:paraId="3D6EBC87" w14:textId="5ED35F26"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 xml:space="preserve">tate </w:t>
      </w:r>
      <w:r w:rsidR="00F36501">
        <w:rPr>
          <w:rFonts w:ascii="Aptos" w:hAnsi="Aptos" w:cs="Times New Roman"/>
          <w:sz w:val="24"/>
          <w:szCs w:val="24"/>
        </w:rPr>
        <w:t>A</w:t>
      </w:r>
      <w:r w:rsidRPr="007B0C40">
        <w:rPr>
          <w:rFonts w:ascii="Aptos" w:hAnsi="Aptos" w:cs="Times New Roman"/>
          <w:sz w:val="24"/>
          <w:szCs w:val="24"/>
        </w:rPr>
        <w:t>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5C436AC5" w14:textId="77777777" w:rsidR="006E09BB" w:rsidRPr="007B0C40" w:rsidRDefault="006E09BB" w:rsidP="007B0C40">
      <w:pPr>
        <w:widowControl/>
        <w:spacing w:after="0" w:line="240" w:lineRule="auto"/>
        <w:ind w:left="540" w:hanging="540"/>
        <w:rPr>
          <w:rFonts w:ascii="Aptos" w:hAnsi="Aptos" w:cs="Times New Roman"/>
          <w:sz w:val="24"/>
          <w:szCs w:val="24"/>
        </w:rPr>
      </w:pPr>
    </w:p>
    <w:p w14:paraId="2163FEB4" w14:textId="7F8E3968" w:rsidR="009D344A" w:rsidRPr="007B0C40" w:rsidRDefault="006E09BB" w:rsidP="007B0C40">
      <w:pPr>
        <w:pStyle w:val="Style1"/>
        <w:jc w:val="left"/>
        <w:rPr>
          <w:rFonts w:ascii="Aptos" w:hAnsi="Aptos"/>
        </w:rPr>
      </w:pPr>
      <w:r w:rsidRPr="007B0C40">
        <w:rPr>
          <w:rFonts w:ascii="Aptos" w:hAnsi="Aptos"/>
        </w:rPr>
        <w:t xml:space="preserve">Invoices:  </w:t>
      </w:r>
    </w:p>
    <w:p w14:paraId="142F11E4" w14:textId="3CE449A6"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 xml:space="preserve">ontractor to the </w:t>
      </w:r>
      <w:r w:rsidR="00F36501">
        <w:rPr>
          <w:rFonts w:ascii="Aptos" w:hAnsi="Aptos" w:cs="Times New Roman"/>
          <w:sz w:val="24"/>
          <w:szCs w:val="24"/>
        </w:rPr>
        <w:t>U</w:t>
      </w:r>
      <w:r w:rsidRPr="007B0C40">
        <w:rPr>
          <w:rFonts w:ascii="Aptos" w:hAnsi="Aptos" w:cs="Times New Roman"/>
          <w:sz w:val="24"/>
          <w:szCs w:val="24"/>
        </w:rPr>
        <w:t xml:space="preserve">sing </w:t>
      </w:r>
      <w:r w:rsidR="00F36501">
        <w:rPr>
          <w:rFonts w:ascii="Aptos" w:hAnsi="Aptos" w:cs="Times New Roman"/>
          <w:sz w:val="24"/>
          <w:szCs w:val="24"/>
        </w:rPr>
        <w:t>A</w:t>
      </w:r>
      <w:r w:rsidRPr="007B0C40">
        <w:rPr>
          <w:rFonts w:ascii="Aptos" w:hAnsi="Aptos" w:cs="Times New Roman"/>
          <w:sz w:val="24"/>
          <w:szCs w:val="24"/>
        </w:rPr>
        <w:t>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 xml:space="preserve">separate invoice for each order delivered and accepted shall be submitted by the Contractor in duplicate directly to the accounting department of the </w:t>
      </w:r>
      <w:r w:rsidR="00F36501">
        <w:rPr>
          <w:rFonts w:ascii="Aptos" w:hAnsi="Aptos" w:cs="Times New Roman"/>
          <w:sz w:val="24"/>
          <w:szCs w:val="24"/>
        </w:rPr>
        <w:t>U</w:t>
      </w:r>
      <w:r w:rsidRPr="007B0C40">
        <w:rPr>
          <w:rFonts w:ascii="Aptos" w:hAnsi="Aptos" w:cs="Times New Roman"/>
          <w:sz w:val="24"/>
          <w:szCs w:val="24"/>
        </w:rPr>
        <w:t xml:space="preserve">sing </w:t>
      </w:r>
      <w:r w:rsidR="00F36501">
        <w:rPr>
          <w:rFonts w:ascii="Aptos" w:hAnsi="Aptos" w:cs="Times New Roman"/>
          <w:sz w:val="24"/>
          <w:szCs w:val="24"/>
        </w:rPr>
        <w:t>A</w:t>
      </w:r>
      <w:r w:rsidRPr="007B0C40">
        <w:rPr>
          <w:rFonts w:ascii="Aptos" w:hAnsi="Aptos" w:cs="Times New Roman"/>
          <w:sz w:val="24"/>
          <w:szCs w:val="24"/>
        </w:rPr>
        <w:t>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CCE0AC7" w14:textId="77777777" w:rsidR="00B77FC1" w:rsidRPr="007B0C40" w:rsidRDefault="00B77FC1" w:rsidP="007B0C40">
      <w:pPr>
        <w:widowControl/>
        <w:spacing w:after="0" w:line="240" w:lineRule="auto"/>
        <w:ind w:left="540" w:hanging="540"/>
        <w:rPr>
          <w:rFonts w:ascii="Aptos" w:hAnsi="Aptos" w:cs="Times New Roman"/>
          <w:sz w:val="24"/>
          <w:szCs w:val="24"/>
        </w:rPr>
      </w:pPr>
    </w:p>
    <w:p w14:paraId="378061EA" w14:textId="239313A2" w:rsidR="00172F15" w:rsidRPr="007B0C40" w:rsidRDefault="00172F15" w:rsidP="007B0C40">
      <w:pPr>
        <w:pStyle w:val="Style1"/>
        <w:jc w:val="left"/>
        <w:rPr>
          <w:rFonts w:ascii="Aptos" w:hAnsi="Aptos"/>
        </w:rPr>
      </w:pPr>
      <w:r w:rsidRPr="007B0C40">
        <w:rPr>
          <w:rFonts w:ascii="Aptos" w:hAnsi="Aptos"/>
        </w:rPr>
        <w:t>Electronic Vendor Payment Solution:</w:t>
      </w:r>
    </w:p>
    <w:p w14:paraId="53391DF5" w14:textId="5C492843"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13F1293" w14:textId="77777777" w:rsidR="00172F15" w:rsidRPr="007B0C40" w:rsidRDefault="00172F15" w:rsidP="007B0C40">
      <w:pPr>
        <w:widowControl/>
        <w:spacing w:after="0" w:line="240" w:lineRule="auto"/>
        <w:ind w:left="540" w:hanging="540"/>
        <w:rPr>
          <w:rFonts w:ascii="Aptos" w:hAnsi="Aptos" w:cs="Times New Roman"/>
          <w:sz w:val="24"/>
          <w:szCs w:val="24"/>
        </w:rPr>
      </w:pPr>
    </w:p>
    <w:p w14:paraId="7BB871AF" w14:textId="25A5B30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6DEE3012"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65B71926" w14:textId="60D1D9D3"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3C4CB553" w14:textId="1EB3A998"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5D507EB" w14:textId="77777777" w:rsidR="00172F15" w:rsidRPr="007B0C40" w:rsidRDefault="00172F15" w:rsidP="007B0C40">
      <w:pPr>
        <w:widowControl/>
        <w:spacing w:after="0" w:line="240" w:lineRule="auto"/>
        <w:ind w:left="540" w:hanging="540"/>
        <w:rPr>
          <w:rFonts w:ascii="Aptos" w:hAnsi="Aptos" w:cs="Times New Roman"/>
          <w:sz w:val="24"/>
          <w:szCs w:val="24"/>
        </w:rPr>
      </w:pPr>
    </w:p>
    <w:p w14:paraId="389DA940" w14:textId="29FBBD56"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372BECA" w14:textId="77777777" w:rsidR="00172F15" w:rsidRPr="007B0C40" w:rsidRDefault="00172F15" w:rsidP="007B0C40">
      <w:pPr>
        <w:widowControl/>
        <w:spacing w:after="0" w:line="240" w:lineRule="auto"/>
        <w:ind w:left="540" w:hanging="540"/>
        <w:rPr>
          <w:rFonts w:ascii="Aptos" w:hAnsi="Aptos" w:cs="Times New Roman"/>
          <w:sz w:val="24"/>
          <w:szCs w:val="24"/>
        </w:rPr>
      </w:pPr>
    </w:p>
    <w:p w14:paraId="340E0A40" w14:textId="0A1544BA"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19ABFBF0" w14:textId="77777777" w:rsidR="00172F15" w:rsidRPr="007B0C40" w:rsidRDefault="00172F15" w:rsidP="007B0C40">
      <w:pPr>
        <w:widowControl/>
        <w:spacing w:after="0" w:line="240" w:lineRule="auto"/>
        <w:ind w:left="540" w:hanging="540"/>
        <w:rPr>
          <w:rFonts w:ascii="Aptos" w:hAnsi="Aptos" w:cs="Times New Roman"/>
          <w:sz w:val="24"/>
          <w:szCs w:val="24"/>
        </w:rPr>
      </w:pPr>
    </w:p>
    <w:p w14:paraId="75ECF2FC" w14:textId="6CFA42FF"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1E32B4B8" w14:textId="77777777" w:rsidR="00172F15" w:rsidRPr="007B0C40" w:rsidRDefault="00172F15" w:rsidP="007B0C40">
      <w:pPr>
        <w:widowControl/>
        <w:spacing w:after="0" w:line="240" w:lineRule="auto"/>
        <w:ind w:left="540" w:hanging="540"/>
        <w:rPr>
          <w:rFonts w:ascii="Aptos" w:hAnsi="Aptos" w:cs="Times New Roman"/>
          <w:sz w:val="24"/>
          <w:szCs w:val="24"/>
        </w:rPr>
      </w:pPr>
    </w:p>
    <w:p w14:paraId="1A4BC466" w14:textId="27E3DB34"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67BA3074"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6CE1C334"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2C0AA5C4"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F861E0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473BCE5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C688001" w14:textId="6B5D13E2"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30038560"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2012429"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00D4FA9C"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49200F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59EF19E"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DA7F4B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6F62D6C9"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3DD6E10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7843EEE"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276F2BCB"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EEFE3FC"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40A2134" w14:textId="703C913F"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13A875AD" w14:textId="48EC3451"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40B720A6"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4C6C5FFD" w14:textId="193B57BF"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74AB4506"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6983E865" w14:textId="14A206D1"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0477563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7133488E" w14:textId="68621A94"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577361DA" w14:textId="747CE321"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00BA7A9E">
        <w:rPr>
          <w:rFonts w:ascii="Aptos" w:hAnsi="Aptos" w:cs="Times New Roman"/>
          <w:sz w:val="24"/>
          <w:szCs w:val="24"/>
        </w:rPr>
        <w:t>the</w:t>
      </w:r>
      <w:r w:rsidRPr="007B0C40">
        <w:rPr>
          <w:rFonts w:ascii="Aptos" w:hAnsi="Aptos" w:cs="Times New Roman"/>
          <w:sz w:val="24"/>
          <w:szCs w:val="24"/>
        </w:rPr>
        <w:t xml:space="preserve"> date of </w:t>
      </w:r>
      <w:proofErr w:type="gramStart"/>
      <w:r w:rsidRPr="007B0C40">
        <w:rPr>
          <w:rFonts w:ascii="Aptos" w:hAnsi="Aptos" w:cs="Times New Roman"/>
          <w:sz w:val="24"/>
          <w:szCs w:val="24"/>
        </w:rPr>
        <w:t>award</w:t>
      </w:r>
      <w:proofErr w:type="gramEnd"/>
      <w:r w:rsidRPr="007B0C40">
        <w:rPr>
          <w:rFonts w:ascii="Aptos" w:hAnsi="Aptos" w:cs="Times New Roman"/>
          <w:sz w:val="24"/>
          <w:szCs w:val="24"/>
        </w:rPr>
        <w:t xml:space="preserve"> and ending June 30, </w:t>
      </w:r>
      <w:r w:rsidR="00BA7A9E">
        <w:rPr>
          <w:rFonts w:ascii="Aptos" w:hAnsi="Aptos" w:cs="Times New Roman"/>
          <w:sz w:val="24"/>
          <w:szCs w:val="24"/>
        </w:rPr>
        <w:t>2027.</w:t>
      </w:r>
    </w:p>
    <w:p w14:paraId="007DC230" w14:textId="77777777" w:rsidR="00FB64C9" w:rsidRPr="007B0C40" w:rsidRDefault="00FB64C9" w:rsidP="007B0C40">
      <w:pPr>
        <w:pStyle w:val="ListParagraph"/>
        <w:spacing w:after="0" w:line="240" w:lineRule="auto"/>
        <w:ind w:left="0"/>
        <w:rPr>
          <w:rFonts w:ascii="Aptos" w:hAnsi="Aptos" w:cs="Times New Roman"/>
          <w:sz w:val="24"/>
          <w:szCs w:val="24"/>
        </w:rPr>
      </w:pPr>
    </w:p>
    <w:p w14:paraId="38C61DCA" w14:textId="77777777" w:rsidR="00F36501" w:rsidRPr="007B0C40" w:rsidRDefault="00FB64C9" w:rsidP="00F36501">
      <w:pPr>
        <w:pStyle w:val="Style1"/>
        <w:jc w:val="left"/>
        <w:rPr>
          <w:rFonts w:ascii="Aptos" w:hAnsi="Aptos"/>
        </w:rPr>
      </w:pPr>
      <w:r w:rsidRPr="007B0C40">
        <w:rPr>
          <w:rFonts w:ascii="Aptos" w:hAnsi="Aptos"/>
        </w:rPr>
        <w:t xml:space="preserve"> </w:t>
      </w:r>
      <w:r w:rsidR="00F36501" w:rsidRPr="007B0C40">
        <w:rPr>
          <w:rFonts w:ascii="Aptos" w:hAnsi="Aptos"/>
        </w:rPr>
        <w:t>Renewal Option:</w:t>
      </w:r>
    </w:p>
    <w:p w14:paraId="2371A8E6" w14:textId="77777777" w:rsidR="00F36501" w:rsidRPr="007B0C40" w:rsidRDefault="00F36501" w:rsidP="00F36501">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437BDE8A" w14:textId="77777777" w:rsidR="00F36501" w:rsidRDefault="00F36501" w:rsidP="00F36501">
      <w:pPr>
        <w:pStyle w:val="Style1"/>
        <w:numPr>
          <w:ilvl w:val="0"/>
          <w:numId w:val="0"/>
        </w:numPr>
        <w:ind w:left="576"/>
        <w:jc w:val="left"/>
        <w:rPr>
          <w:rFonts w:ascii="Aptos" w:hAnsi="Aptos"/>
        </w:rPr>
      </w:pPr>
    </w:p>
    <w:p w14:paraId="738F64AE" w14:textId="13446FA6" w:rsidR="00FB64C9" w:rsidRPr="007B0C40" w:rsidRDefault="00FB64C9" w:rsidP="007B0C40">
      <w:pPr>
        <w:pStyle w:val="Style1"/>
        <w:jc w:val="left"/>
        <w:rPr>
          <w:rFonts w:ascii="Aptos" w:hAnsi="Aptos"/>
        </w:rPr>
      </w:pPr>
      <w:r w:rsidRPr="007B0C40">
        <w:rPr>
          <w:rFonts w:ascii="Aptos" w:hAnsi="Aptos"/>
        </w:rPr>
        <w:t>Estimated Quantity:</w:t>
      </w:r>
    </w:p>
    <w:p w14:paraId="5F165EB9" w14:textId="029DABEF"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783CB9CB" w14:textId="77777777" w:rsidR="00FB64C9" w:rsidRPr="007B0C40" w:rsidRDefault="00FB64C9" w:rsidP="007B0C40">
      <w:pPr>
        <w:pStyle w:val="ListParagraph"/>
        <w:spacing w:after="0" w:line="240" w:lineRule="auto"/>
        <w:ind w:left="0"/>
        <w:rPr>
          <w:rFonts w:ascii="Aptos" w:hAnsi="Aptos" w:cs="Times New Roman"/>
          <w:sz w:val="24"/>
          <w:szCs w:val="24"/>
        </w:rPr>
      </w:pPr>
    </w:p>
    <w:p w14:paraId="42239F2F" w14:textId="37D37525"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42265BF6" w14:textId="5A3D1B32" w:rsidR="00FB64C9" w:rsidRDefault="00BA7A9E" w:rsidP="00FD7F22">
      <w:pPr>
        <w:widowControl/>
        <w:spacing w:after="0" w:line="240" w:lineRule="auto"/>
        <w:ind w:left="540"/>
        <w:contextualSpacing/>
        <w:rPr>
          <w:rFonts w:ascii="Aptos" w:eastAsia="Times New Roman" w:hAnsi="Aptos" w:cs="Times New Roman"/>
          <w:sz w:val="24"/>
          <w:szCs w:val="24"/>
        </w:rPr>
      </w:pPr>
      <w:r w:rsidRPr="00BA7A9E">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2E061706" w14:textId="77777777" w:rsidR="00BA7A9E" w:rsidRDefault="00BA7A9E" w:rsidP="007B0C40">
      <w:pPr>
        <w:widowControl/>
        <w:spacing w:after="0" w:line="240" w:lineRule="auto"/>
        <w:ind w:left="720"/>
        <w:contextualSpacing/>
        <w:rPr>
          <w:rFonts w:ascii="Aptos" w:eastAsia="Times New Roman" w:hAnsi="Aptos" w:cs="Times New Roman"/>
          <w:sz w:val="24"/>
          <w:szCs w:val="24"/>
        </w:rPr>
      </w:pPr>
    </w:p>
    <w:p w14:paraId="4199D62A" w14:textId="571D9CC6" w:rsidR="00BA7A9E" w:rsidRPr="00591B2E" w:rsidRDefault="00BA7A9E" w:rsidP="00BA7A9E">
      <w:pPr>
        <w:pStyle w:val="Style1"/>
        <w:rPr>
          <w:rFonts w:ascii="Aptos" w:eastAsia="Times New Roman" w:hAnsi="Aptos"/>
        </w:rPr>
      </w:pPr>
      <w:r w:rsidRPr="00591B2E">
        <w:rPr>
          <w:rFonts w:ascii="Aptos" w:eastAsia="Times New Roman" w:hAnsi="Aptos"/>
        </w:rPr>
        <w:t>PREA: Prison Rape Elimination Act: </w:t>
      </w:r>
    </w:p>
    <w:p w14:paraId="45B9F215" w14:textId="77777777" w:rsidR="00BA7A9E" w:rsidRDefault="00BA7A9E" w:rsidP="00FD7F22">
      <w:pPr>
        <w:widowControl/>
        <w:spacing w:after="0" w:line="240" w:lineRule="auto"/>
        <w:ind w:left="540"/>
        <w:contextualSpacing/>
        <w:rPr>
          <w:rFonts w:ascii="Aptos" w:eastAsia="Times New Roman" w:hAnsi="Aptos" w:cs="Times New Roman"/>
          <w:sz w:val="24"/>
          <w:szCs w:val="24"/>
        </w:rPr>
      </w:pPr>
      <w:r w:rsidRPr="00BA7A9E">
        <w:rPr>
          <w:rFonts w:ascii="Aptos" w:eastAsia="Times New Roman" w:hAnsi="Aptos" w:cs="Times New Roman"/>
          <w:sz w:val="24"/>
          <w:szCs w:val="24"/>
        </w:rPr>
        <w:t>In accordance with DPS &amp; Department Regulation No. C-01-022 "Sexual Assault and Sexual Misconduct", the Contractor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Contractor and kept on file at the facility.  Should the regulation be modified or amended, the Contractor will be notified and shall comply with the regulation as modified or amended.</w:t>
      </w:r>
    </w:p>
    <w:p w14:paraId="53E9EC4C" w14:textId="77777777" w:rsidR="00BA7A9E" w:rsidRDefault="00BA7A9E" w:rsidP="00BA7A9E">
      <w:pPr>
        <w:widowControl/>
        <w:spacing w:after="0" w:line="240" w:lineRule="auto"/>
        <w:ind w:left="720"/>
        <w:contextualSpacing/>
        <w:rPr>
          <w:rFonts w:ascii="Aptos" w:eastAsia="Times New Roman" w:hAnsi="Aptos" w:cs="Times New Roman"/>
          <w:sz w:val="24"/>
          <w:szCs w:val="24"/>
        </w:rPr>
      </w:pPr>
    </w:p>
    <w:p w14:paraId="1609A4C5" w14:textId="77777777" w:rsidR="00BA7A9E" w:rsidRPr="00591B2E" w:rsidRDefault="00BA7A9E" w:rsidP="00BA7A9E">
      <w:pPr>
        <w:pStyle w:val="Style1"/>
        <w:rPr>
          <w:rFonts w:ascii="Aptos" w:eastAsia="Times New Roman" w:hAnsi="Aptos"/>
        </w:rPr>
      </w:pPr>
      <w:r w:rsidRPr="00591B2E">
        <w:rPr>
          <w:rFonts w:ascii="Aptos" w:eastAsia="Times New Roman" w:hAnsi="Aptos"/>
        </w:rPr>
        <w:t xml:space="preserve">Contractors Entering Prison Grounds: </w:t>
      </w:r>
    </w:p>
    <w:p w14:paraId="0B02E3C0" w14:textId="46A2481E" w:rsidR="00BA7A9E" w:rsidRPr="00BA7A9E" w:rsidRDefault="00BA7A9E" w:rsidP="00FD7F22">
      <w:pPr>
        <w:widowControl/>
        <w:spacing w:after="0" w:line="240" w:lineRule="auto"/>
        <w:ind w:left="540"/>
        <w:contextualSpacing/>
        <w:rPr>
          <w:rFonts w:ascii="Aptos" w:eastAsia="Times New Roman" w:hAnsi="Aptos" w:cs="Times New Roman"/>
          <w:sz w:val="24"/>
          <w:szCs w:val="24"/>
        </w:rPr>
      </w:pPr>
      <w:r w:rsidRPr="00BA7A9E">
        <w:rPr>
          <w:rFonts w:ascii="Aptos" w:eastAsia="Times New Roman" w:hAnsi="Aptos" w:cs="Times New Roman"/>
          <w:sz w:val="24"/>
          <w:szCs w:val="24"/>
        </w:rPr>
        <w:t xml:space="preserve">Only Contractors’ foremen entering the perimeter fences are allowed to bring in cellular telephones.  Prior written approval from the </w:t>
      </w:r>
      <w:proofErr w:type="gramStart"/>
      <w:r w:rsidRPr="00BA7A9E">
        <w:rPr>
          <w:rFonts w:ascii="Aptos" w:eastAsia="Times New Roman" w:hAnsi="Aptos" w:cs="Times New Roman"/>
          <w:sz w:val="24"/>
          <w:szCs w:val="24"/>
        </w:rPr>
        <w:t>warden</w:t>
      </w:r>
      <w:proofErr w:type="gramEnd"/>
      <w:r w:rsidRPr="00BA7A9E">
        <w:rPr>
          <w:rFonts w:ascii="Aptos" w:eastAsia="Times New Roman" w:hAnsi="Aptos" w:cs="Times New Roman"/>
          <w:sz w:val="24"/>
          <w:szCs w:val="24"/>
        </w:rPr>
        <w:t xml:space="preserve"> is required. Camera phones and chargers are not allowed.  Cellphones must be on the person or securely </w:t>
      </w:r>
      <w:proofErr w:type="gramStart"/>
      <w:r w:rsidRPr="00BA7A9E">
        <w:rPr>
          <w:rFonts w:ascii="Aptos" w:eastAsia="Times New Roman" w:hAnsi="Aptos" w:cs="Times New Roman"/>
          <w:sz w:val="24"/>
          <w:szCs w:val="24"/>
        </w:rPr>
        <w:t>locked away at all times</w:t>
      </w:r>
      <w:proofErr w:type="gramEnd"/>
      <w:r w:rsidRPr="00BA7A9E">
        <w:rPr>
          <w:rFonts w:ascii="Aptos" w:eastAsia="Times New Roman" w:hAnsi="Aptos" w:cs="Times New Roman"/>
          <w:sz w:val="24"/>
          <w:szCs w:val="24"/>
        </w:rPr>
        <w:t xml:space="preserve">.  Prior to beginning work, all Contractors must receive orientation to rules regarding working within the </w:t>
      </w:r>
      <w:r w:rsidRPr="00BA7A9E">
        <w:rPr>
          <w:rFonts w:ascii="Aptos" w:eastAsia="Times New Roman" w:hAnsi="Aptos" w:cs="Times New Roman"/>
          <w:sz w:val="24"/>
          <w:szCs w:val="24"/>
        </w:rPr>
        <w:lastRenderedPageBreak/>
        <w:t xml:space="preserve">prison.  Contractors will be advised during orientation about the rules and regulations regarding their responsibilities while working on the grounds of </w:t>
      </w:r>
      <w:r w:rsidR="001601E8" w:rsidRPr="001601E8">
        <w:rPr>
          <w:rFonts w:ascii="Aptos" w:eastAsia="Times New Roman" w:hAnsi="Aptos" w:cs="Times New Roman"/>
          <w:b/>
          <w:sz w:val="24"/>
          <w:szCs w:val="24"/>
        </w:rPr>
        <w:t>Rayburn Correctional Center</w:t>
      </w:r>
      <w:r w:rsidRPr="00BA7A9E">
        <w:rPr>
          <w:rFonts w:ascii="Aptos" w:eastAsia="Times New Roman" w:hAnsi="Aptos" w:cs="Times New Roman"/>
          <w:b/>
          <w:sz w:val="24"/>
          <w:szCs w:val="24"/>
        </w:rPr>
        <w:t>.</w:t>
      </w:r>
    </w:p>
    <w:p w14:paraId="376770DD" w14:textId="77777777" w:rsidR="00BA7A9E" w:rsidRPr="00BA7A9E" w:rsidRDefault="00BA7A9E" w:rsidP="00BA7A9E">
      <w:pPr>
        <w:widowControl/>
        <w:spacing w:after="0" w:line="240" w:lineRule="auto"/>
        <w:ind w:left="720"/>
        <w:contextualSpacing/>
        <w:rPr>
          <w:rFonts w:ascii="Aptos" w:eastAsia="Times New Roman" w:hAnsi="Aptos" w:cs="Times New Roman"/>
          <w:sz w:val="24"/>
          <w:szCs w:val="24"/>
        </w:rPr>
      </w:pPr>
    </w:p>
    <w:p w14:paraId="4992BCD7" w14:textId="77777777" w:rsidR="00BA7A9E" w:rsidRPr="00591B2E" w:rsidRDefault="00BA7A9E" w:rsidP="00BA7A9E">
      <w:pPr>
        <w:pStyle w:val="Style1"/>
        <w:rPr>
          <w:rFonts w:ascii="Aptos" w:eastAsia="Times New Roman" w:hAnsi="Aptos"/>
        </w:rPr>
      </w:pPr>
      <w:r w:rsidRPr="00591B2E">
        <w:rPr>
          <w:rFonts w:ascii="Aptos" w:eastAsia="Times New Roman" w:hAnsi="Aptos"/>
        </w:rPr>
        <w:t xml:space="preserve">DOC Vendor Security Clearance Process:  </w:t>
      </w:r>
    </w:p>
    <w:p w14:paraId="1D635E2C" w14:textId="77777777" w:rsidR="00BA7A9E" w:rsidRPr="00BA7A9E" w:rsidRDefault="00BA7A9E" w:rsidP="00FD7F22">
      <w:pPr>
        <w:widowControl/>
        <w:spacing w:after="0" w:line="240" w:lineRule="auto"/>
        <w:ind w:left="540"/>
        <w:contextualSpacing/>
        <w:rPr>
          <w:rFonts w:ascii="Aptos" w:eastAsia="Times New Roman" w:hAnsi="Aptos" w:cs="Times New Roman"/>
          <w:sz w:val="24"/>
          <w:szCs w:val="24"/>
        </w:rPr>
      </w:pPr>
      <w:r w:rsidRPr="00BA7A9E">
        <w:rPr>
          <w:rFonts w:ascii="Aptos" w:eastAsia="Times New Roman" w:hAnsi="Aptos" w:cs="Times New Roman"/>
          <w:sz w:val="24"/>
          <w:szCs w:val="24"/>
        </w:rPr>
        <w:t>Any Contractor or Contractor personnel visiting or working in an institution is required to receive security clearance prior to entering the institution grounds.  Contractor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Contractor personnel will be allowed to work on the institution grounds until the above clearance approval process is completed.  The Contractor is also required to provide a written inventory of tools, vehicles and/or trailers prior to entering the institution grounds.</w:t>
      </w:r>
    </w:p>
    <w:p w14:paraId="1547220F" w14:textId="77777777" w:rsidR="00BA7A9E" w:rsidRPr="007B0C40" w:rsidRDefault="00BA7A9E" w:rsidP="007B0C40">
      <w:pPr>
        <w:widowControl/>
        <w:spacing w:after="0" w:line="240" w:lineRule="auto"/>
        <w:ind w:left="720"/>
        <w:contextualSpacing/>
        <w:rPr>
          <w:rFonts w:ascii="Aptos" w:eastAsia="Times New Roman" w:hAnsi="Aptos" w:cs="Times New Roman"/>
          <w:sz w:val="24"/>
          <w:szCs w:val="24"/>
        </w:rPr>
      </w:pPr>
    </w:p>
    <w:p w14:paraId="54A2D0B2" w14:textId="4641D486"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2D1ED3"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62B2A27" w14:textId="1D41FE1C"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4C57F8DA"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69526A1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16069937" w14:textId="06759E9C"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497B7821"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60329633" w14:textId="5296A430"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55412374"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95013BC"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40A6F1FC" w14:textId="5F9E3061"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5E6C3450" w14:textId="30CCECD8"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56013CAD"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Commercial General Liability, Automobile Liability, and Cyber Liability Coverages</w:t>
      </w:r>
    </w:p>
    <w:p w14:paraId="2C4BEE3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7B2058A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009A8FCC" w14:textId="220D8126"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34178982"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AB7015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3443301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511B8450"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5B9BA87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3321C4D5" w14:textId="41EA7BC9"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3188F61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6C7B1A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1E066BF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648CEC5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4DE3B9B6"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242467F2"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w:t>
      </w:r>
      <w:r w:rsidRPr="007B0C40">
        <w:rPr>
          <w:rFonts w:ascii="Aptos" w:eastAsia="PMingLiU" w:hAnsi="Aptos" w:cs="Times New Roman"/>
          <w:sz w:val="24"/>
          <w:szCs w:val="24"/>
          <w:lang w:eastAsia="zh-TW"/>
        </w:rPr>
        <w:lastRenderedPageBreak/>
        <w:t xml:space="preserve">certificates are to be received and approved by the Agency before work commences and upon any contract renewal or insurance policy renewal thereafter.  </w:t>
      </w:r>
    </w:p>
    <w:p w14:paraId="14B262B4" w14:textId="548F9A6F"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A813DF4"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6B3273B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098DDE31"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2291C5F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641EC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14FD5272"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4F9C4F54"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6FEF59E9" w14:textId="54760B4C"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C5932CF"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14FF1016" w14:textId="2056D8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1818CA27"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0A0FE974"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1F7BABDC" w14:textId="2B7A860B"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667CCA8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08BCDD"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C3AB63C"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D7AE44B"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w:t>
      </w:r>
      <w:r w:rsidRPr="007B0C40">
        <w:rPr>
          <w:rFonts w:ascii="Aptos" w:eastAsia="PMingLiU" w:hAnsi="Aptos" w:cs="Times New Roman"/>
          <w:sz w:val="24"/>
          <w:szCs w:val="24"/>
          <w:lang w:eastAsia="zh-TW"/>
        </w:rPr>
        <w:lastRenderedPageBreak/>
        <w:t>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77A00C62" w14:textId="5117EA0D"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1ED8A32" w14:textId="77777777" w:rsidR="00BA7A9E" w:rsidRPr="00BA7A9E" w:rsidRDefault="00BA7A9E" w:rsidP="00BA7A9E">
      <w:pPr>
        <w:widowControl/>
        <w:tabs>
          <w:tab w:val="left" w:pos="360"/>
        </w:tabs>
        <w:spacing w:after="0" w:line="240" w:lineRule="auto"/>
        <w:rPr>
          <w:rFonts w:ascii="Aptos" w:eastAsia="PMingLiU" w:hAnsi="Aptos" w:cs="Times New Roman"/>
          <w:sz w:val="24"/>
          <w:szCs w:val="24"/>
          <w:lang w:eastAsia="zh-TW"/>
        </w:rPr>
      </w:pPr>
    </w:p>
    <w:p w14:paraId="52080582" w14:textId="77777777" w:rsidR="009A7362" w:rsidRPr="007B0C40" w:rsidRDefault="009A7362" w:rsidP="007B0C40">
      <w:pPr>
        <w:spacing w:after="0"/>
        <w:rPr>
          <w:rFonts w:ascii="Aptos" w:hAnsi="Aptos" w:cs="Times New Roman"/>
          <w:bCs/>
          <w:sz w:val="24"/>
          <w:szCs w:val="24"/>
        </w:rPr>
      </w:pPr>
    </w:p>
    <w:p w14:paraId="37E55FC6"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547708AC" w14:textId="48AEC378"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BA7A9E">
        <w:rPr>
          <w:rFonts w:ascii="Aptos" w:hAnsi="Aptos" w:cs="Times New Roman"/>
          <w:sz w:val="24"/>
          <w:szCs w:val="24"/>
        </w:rPr>
        <w:t xml:space="preserve">Raymond </w:t>
      </w:r>
      <w:r w:rsidR="00476241">
        <w:rPr>
          <w:rFonts w:ascii="Aptos" w:hAnsi="Aptos" w:cs="Times New Roman"/>
          <w:sz w:val="24"/>
          <w:szCs w:val="24"/>
        </w:rPr>
        <w:t xml:space="preserve">McKnight, </w:t>
      </w:r>
      <w:r w:rsidR="00476241" w:rsidRPr="007B0C40">
        <w:rPr>
          <w:rFonts w:ascii="Aptos" w:hAnsi="Aptos" w:cs="Times New Roman"/>
          <w:sz w:val="24"/>
          <w:szCs w:val="24"/>
        </w:rPr>
        <w:t>phone</w:t>
      </w:r>
      <w:r w:rsidRPr="007B0C40">
        <w:rPr>
          <w:rFonts w:ascii="Aptos" w:hAnsi="Aptos" w:cs="Times New Roman"/>
          <w:sz w:val="24"/>
          <w:szCs w:val="24"/>
        </w:rPr>
        <w:t>: 225-342-</w:t>
      </w:r>
      <w:r w:rsidR="00BA7A9E">
        <w:rPr>
          <w:rFonts w:ascii="Aptos" w:hAnsi="Aptos" w:cs="Times New Roman"/>
          <w:sz w:val="24"/>
          <w:szCs w:val="24"/>
        </w:rPr>
        <w:t>9200</w:t>
      </w:r>
      <w:r w:rsidRPr="007B0C40">
        <w:rPr>
          <w:rFonts w:ascii="Aptos" w:hAnsi="Aptos" w:cs="Times New Roman"/>
          <w:sz w:val="24"/>
          <w:szCs w:val="24"/>
        </w:rPr>
        <w:t xml:space="preserve">, email:  </w:t>
      </w:r>
      <w:r w:rsidR="00BA7A9E">
        <w:rPr>
          <w:rFonts w:ascii="Aptos" w:hAnsi="Aptos" w:cs="Times New Roman"/>
          <w:sz w:val="24"/>
          <w:szCs w:val="24"/>
        </w:rPr>
        <w:t>Raymond.McKnight2@la.gov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444A" w14:textId="77777777" w:rsidR="0081486F" w:rsidRDefault="0081486F">
      <w:pPr>
        <w:spacing w:after="0" w:line="240" w:lineRule="auto"/>
      </w:pPr>
      <w:r>
        <w:separator/>
      </w:r>
    </w:p>
  </w:endnote>
  <w:endnote w:type="continuationSeparator" w:id="0">
    <w:p w14:paraId="5616ED1B" w14:textId="77777777" w:rsidR="0081486F" w:rsidRDefault="008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216E38A1" w14:textId="43B4CE71"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B28C1"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0198"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C54B" w14:textId="77777777" w:rsidR="0081486F" w:rsidRDefault="0081486F">
      <w:pPr>
        <w:spacing w:after="0" w:line="240" w:lineRule="auto"/>
      </w:pPr>
      <w:r>
        <w:separator/>
      </w:r>
    </w:p>
  </w:footnote>
  <w:footnote w:type="continuationSeparator" w:id="0">
    <w:p w14:paraId="284246E3" w14:textId="77777777" w:rsidR="0081486F" w:rsidRDefault="008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DD5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75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4256DA0" w14:textId="77777777" w:rsidR="00CA73D6" w:rsidRPr="001856F5" w:rsidRDefault="00CA73D6" w:rsidP="009354EB">
    <w:pPr>
      <w:pStyle w:val="Header"/>
      <w:rPr>
        <w:rFonts w:ascii="Times New Roman" w:hAnsi="Times New Roman" w:cs="Times New Roman"/>
        <w:sz w:val="24"/>
        <w:szCs w:val="24"/>
      </w:rPr>
    </w:pPr>
  </w:p>
  <w:p w14:paraId="2AEB3E8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6AE2B8F8"/>
    <w:lvl w:ilvl="0" w:tplc="79D0835A">
      <w:start w:val="1"/>
      <w:numFmt w:val="decimal"/>
      <w:pStyle w:val="Style1"/>
      <w:lvlText w:val="%1."/>
      <w:lvlJc w:val="left"/>
      <w:pPr>
        <w:ind w:left="576" w:hanging="360"/>
      </w:pPr>
      <w:rPr>
        <w:rFonts w:ascii="Aptos" w:hAnsi="Apto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6F"/>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01E8"/>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0EC0"/>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6241"/>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1BA7"/>
    <w:rsid w:val="00585BBF"/>
    <w:rsid w:val="00591B2E"/>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A0F8E"/>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2F0D"/>
    <w:rsid w:val="00BA36D5"/>
    <w:rsid w:val="00BA7A9E"/>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36501"/>
    <w:rsid w:val="00F45FBE"/>
    <w:rsid w:val="00F528BE"/>
    <w:rsid w:val="00F662A7"/>
    <w:rsid w:val="00F716AC"/>
    <w:rsid w:val="00F845CC"/>
    <w:rsid w:val="00FB64C9"/>
    <w:rsid w:val="00FC13B9"/>
    <w:rsid w:val="00FC14B1"/>
    <w:rsid w:val="00FD625F"/>
    <w:rsid w:val="00FD7A08"/>
    <w:rsid w:val="00FD7F22"/>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B081A"/>
  <w15:chartTrackingRefBased/>
  <w15:docId w15:val="{A6004ADC-370B-4FC6-B578-1CB9B350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3068</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Raymond McKnight (DOA)</cp:lastModifiedBy>
  <cp:revision>3</cp:revision>
  <cp:lastPrinted>2022-05-19T21:13:00Z</cp:lastPrinted>
  <dcterms:created xsi:type="dcterms:W3CDTF">2026-07-13T14:51:00Z</dcterms:created>
  <dcterms:modified xsi:type="dcterms:W3CDTF">2026-07-13T16:03:00Z</dcterms:modified>
</cp:coreProperties>
</file>