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132888D7"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251C0F">
        <w:rPr>
          <w:rFonts w:ascii="Arial" w:hAnsi="Arial" w:cs="Arial"/>
          <w:b/>
          <w:sz w:val="24"/>
          <w:szCs w:val="24"/>
        </w:rPr>
        <w:t>26250</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7F3E93">
        <w:rPr>
          <w:rFonts w:ascii="Arial" w:hAnsi="Arial" w:cs="Arial"/>
          <w:b/>
          <w:sz w:val="24"/>
          <w:szCs w:val="24"/>
        </w:rPr>
        <w:t>Box</w:t>
      </w:r>
      <w:r w:rsidR="00D153DE" w:rsidRPr="003A214D">
        <w:rPr>
          <w:rFonts w:ascii="Arial" w:hAnsi="Arial" w:cs="Arial"/>
          <w:b/>
          <w:sz w:val="24"/>
          <w:szCs w:val="24"/>
        </w:rPr>
        <w:t xml:space="preserve"> Truck - </w:t>
      </w:r>
      <w:r w:rsidR="00DC6D07">
        <w:rPr>
          <w:rFonts w:ascii="Arial" w:hAnsi="Arial" w:cs="Arial"/>
          <w:b/>
          <w:sz w:val="24"/>
          <w:szCs w:val="24"/>
        </w:rPr>
        <w:t>L</w:t>
      </w:r>
      <w:r w:rsidR="00D153DE" w:rsidRPr="003A214D">
        <w:rPr>
          <w:rFonts w:ascii="Arial" w:hAnsi="Arial" w:cs="Arial"/>
          <w:b/>
          <w:sz w:val="24"/>
          <w:szCs w:val="24"/>
        </w:rPr>
        <w:t>D</w:t>
      </w:r>
      <w:r w:rsidR="007F3E93">
        <w:rPr>
          <w:rFonts w:ascii="Arial" w:hAnsi="Arial" w:cs="Arial"/>
          <w:b/>
          <w:sz w:val="24"/>
          <w:szCs w:val="24"/>
        </w:rPr>
        <w:t>H</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tate of Louisiana cannot guarantee that access to the LaGov or LaP</w:t>
      </w:r>
      <w:r w:rsidR="00C6062F" w:rsidRPr="00A67CFB">
        <w:rPr>
          <w:rFonts w:ascii="Arial" w:hAnsi="Arial" w:cs="Arial"/>
        </w:rPr>
        <w:t>AC</w:t>
      </w:r>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LaPAC</w:t>
      </w:r>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yes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so, do you certify that at least 50% of your Louisiana business workforce is comprised of Louisiana residents?  _______ yes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above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6E35EB55"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259203A8"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at least 50% of its component parts produced in the United States or Canada as defined by Part 583 American Automobile Labeling Act (AALA) Reports;</w:t>
      </w:r>
    </w:p>
    <w:p w14:paraId="6DA30D89"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234B21E1"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145F77CD" w14:textId="77777777" w:rsidR="00AB4BA3" w:rsidRPr="00AB4BA3" w:rsidRDefault="00AB4BA3" w:rsidP="00AB4BA3">
      <w:pPr>
        <w:widowControl/>
        <w:spacing w:after="0" w:line="240" w:lineRule="auto"/>
        <w:rPr>
          <w:rFonts w:ascii="Arial" w:hAnsi="Arial" w:cs="Arial"/>
          <w:sz w:val="24"/>
          <w:szCs w:val="24"/>
        </w:rPr>
      </w:pPr>
    </w:p>
    <w:p w14:paraId="2D83BCC1"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If bidding other than specified, sufficient information should be enclosed with the bid in order to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46EDA14F" w14:textId="77777777" w:rsidR="007F3E93" w:rsidRDefault="007F3E93" w:rsidP="00A67CFB">
      <w:pPr>
        <w:widowControl/>
        <w:spacing w:after="0" w:line="240" w:lineRule="auto"/>
        <w:rPr>
          <w:rFonts w:ascii="Arial" w:eastAsia="PMingLiU" w:hAnsi="Arial" w:cs="Arial"/>
          <w:sz w:val="24"/>
          <w:szCs w:val="24"/>
          <w:lang w:eastAsia="zh-TW"/>
        </w:rPr>
      </w:pPr>
    </w:p>
    <w:p w14:paraId="652A7827" w14:textId="77777777" w:rsidR="007F3E93" w:rsidRPr="003867DC" w:rsidRDefault="007F3E93" w:rsidP="007F3E93">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Moveable Equipment:</w:t>
      </w:r>
    </w:p>
    <w:p w14:paraId="29505F23" w14:textId="77777777" w:rsidR="007F3E93" w:rsidRPr="003867DC" w:rsidRDefault="007F3E93" w:rsidP="007F3E93">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two copies of the following documents:</w:t>
      </w:r>
    </w:p>
    <w:p w14:paraId="0B5E9BEF"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Complete certificate of origin</w:t>
      </w:r>
    </w:p>
    <w:p w14:paraId="4790C79C"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 xml:space="preserve">Notarized bill of sale or invoice  </w:t>
      </w:r>
    </w:p>
    <w:p w14:paraId="184696D2" w14:textId="77777777" w:rsidR="007F3E93" w:rsidRDefault="007F3E93" w:rsidP="007F3E93">
      <w:pPr>
        <w:widowControl/>
        <w:spacing w:after="0" w:line="240" w:lineRule="auto"/>
        <w:rPr>
          <w:rFonts w:ascii="Arial" w:eastAsia="PMingLiU" w:hAnsi="Arial" w:cs="Arial"/>
          <w:sz w:val="24"/>
          <w:szCs w:val="24"/>
          <w:lang w:eastAsia="zh-TW"/>
        </w:rPr>
      </w:pPr>
    </w:p>
    <w:p w14:paraId="6714C663" w14:textId="77777777" w:rsidR="007F3E93" w:rsidRPr="003867DC" w:rsidRDefault="007F3E93" w:rsidP="007F3E93">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lastRenderedPageBreak/>
        <w:t>Each piece of movable equipment shall be delivered with one copy of the following documents, if applicable to the type of equipment delivered:</w:t>
      </w:r>
    </w:p>
    <w:p w14:paraId="230BA479"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Odometer disclosure statement</w:t>
      </w:r>
    </w:p>
    <w:p w14:paraId="10B18E00"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service policy</w:t>
      </w:r>
    </w:p>
    <w:p w14:paraId="06A159E4"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Warranty</w:t>
      </w:r>
    </w:p>
    <w:p w14:paraId="770222AB"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Tag application</w:t>
      </w:r>
    </w:p>
    <w:p w14:paraId="27F8E5B8"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Owner’s manual</w:t>
      </w:r>
    </w:p>
    <w:p w14:paraId="12919764"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inspection</w:t>
      </w:r>
    </w:p>
    <w:p w14:paraId="76699F1B"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Service manual(s) and check sheet(s)</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Do not include the cost of the waste tire fee in your bid price.  The State of Louisiana, Office of State Procurement will add the cost of the waste tire fee to the bid amount upon award. In accordance with LAC 33:VII.10521.B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Any additions, deletions, or variations from the specifications should be noted in writing.  Minor deviations from the specifications which do not impair comparative functional equivalency will be accepted.  Any references to brand name parts, </w:t>
      </w:r>
      <w:r w:rsidRPr="00D153DE">
        <w:rPr>
          <w:rFonts w:ascii="Arial" w:hAnsi="Arial" w:cs="Arial"/>
          <w:sz w:val="24"/>
          <w:szCs w:val="24"/>
        </w:rPr>
        <w:lastRenderedPageBreak/>
        <w:t>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equipment delivered under this specification is subject to rejection if there is evidence of poor workmanship by either the vendor,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t xml:space="preserve">In order to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u w:val="single"/>
        </w:rPr>
        <w:lastRenderedPageBreak/>
        <w:t>Dealer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1 Year sticker prior to delivery of vehicles.</w:t>
      </w:r>
    </w:p>
    <w:p w14:paraId="673009A2" w14:textId="77777777"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1C0F"/>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214D"/>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1B58"/>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7F3E93"/>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C6D07"/>
    <w:rsid w:val="00DE2E22"/>
    <w:rsid w:val="00DF1C7C"/>
    <w:rsid w:val="00E05B57"/>
    <w:rsid w:val="00E139C7"/>
    <w:rsid w:val="00E16BEE"/>
    <w:rsid w:val="00E36EFF"/>
    <w:rsid w:val="00E50DB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3</cp:revision>
  <cp:lastPrinted>2026-02-23T22:51:00Z</cp:lastPrinted>
  <dcterms:created xsi:type="dcterms:W3CDTF">2026-05-11T14:32:00Z</dcterms:created>
  <dcterms:modified xsi:type="dcterms:W3CDTF">2026-05-11T14:54:00Z</dcterms:modified>
</cp:coreProperties>
</file>