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E0A7"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D93FDDA" wp14:editId="617E9538">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E34265C"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51B05A08" w14:textId="77777777" w:rsidR="0037286D" w:rsidRPr="007B0C40" w:rsidRDefault="0037286D" w:rsidP="007B0C40">
      <w:pPr>
        <w:pStyle w:val="Header"/>
        <w:ind w:firstLine="720"/>
        <w:rPr>
          <w:rFonts w:ascii="Aptos" w:hAnsi="Aptos" w:cs="Times New Roman"/>
          <w:sz w:val="24"/>
          <w:szCs w:val="24"/>
        </w:rPr>
      </w:pPr>
    </w:p>
    <w:p w14:paraId="757AD11A" w14:textId="1D65D9B4" w:rsidR="0037286D" w:rsidRPr="007B0C40" w:rsidRDefault="0037286D" w:rsidP="005C18CF">
      <w:pPr>
        <w:pStyle w:val="Header"/>
        <w:tabs>
          <w:tab w:val="clear" w:pos="4680"/>
          <w:tab w:val="clear" w:pos="9360"/>
          <w:tab w:val="center" w:pos="5490"/>
          <w:tab w:val="right" w:pos="10800"/>
        </w:tabs>
        <w:jc w:val="center"/>
        <w:rPr>
          <w:rFonts w:ascii="Aptos" w:hAnsi="Aptos" w:cs="Times New Roman"/>
          <w:sz w:val="24"/>
          <w:szCs w:val="24"/>
        </w:rPr>
      </w:pPr>
      <w:r w:rsidRPr="007B0C40">
        <w:rPr>
          <w:rFonts w:ascii="Aptos" w:hAnsi="Aptos" w:cs="Times New Roman"/>
          <w:sz w:val="24"/>
          <w:szCs w:val="24"/>
        </w:rPr>
        <w:t>RFx No.:</w:t>
      </w:r>
      <w:r w:rsidR="005C18CF">
        <w:rPr>
          <w:rFonts w:ascii="Aptos" w:hAnsi="Aptos" w:cs="Times New Roman"/>
          <w:sz w:val="24"/>
          <w:szCs w:val="24"/>
        </w:rPr>
        <w:t xml:space="preserve"> 3000026152</w:t>
      </w:r>
      <w:r w:rsidRPr="007B0C40">
        <w:rPr>
          <w:rFonts w:ascii="Aptos" w:hAnsi="Aptos" w:cs="Times New Roman"/>
          <w:sz w:val="24"/>
          <w:szCs w:val="24"/>
        </w:rPr>
        <w:tab/>
        <w:t>Title:</w:t>
      </w:r>
      <w:r w:rsidR="005C18CF">
        <w:rPr>
          <w:rFonts w:ascii="Aptos" w:hAnsi="Aptos" w:cs="Times New Roman"/>
          <w:sz w:val="24"/>
          <w:szCs w:val="24"/>
        </w:rPr>
        <w:t xml:space="preserve"> </w:t>
      </w:r>
      <w:r w:rsidR="00944880" w:rsidRPr="00944880">
        <w:rPr>
          <w:rFonts w:ascii="Aptos" w:hAnsi="Aptos" w:cs="Times New Roman"/>
          <w:sz w:val="24"/>
          <w:szCs w:val="24"/>
        </w:rPr>
        <w:t>*Pre-Bid Con</w:t>
      </w:r>
      <w:r w:rsidR="00267884">
        <w:rPr>
          <w:rFonts w:ascii="Aptos" w:hAnsi="Aptos" w:cs="Times New Roman"/>
          <w:sz w:val="24"/>
          <w:szCs w:val="24"/>
        </w:rPr>
        <w:t>f</w:t>
      </w:r>
      <w:r w:rsidR="00944880" w:rsidRPr="00944880">
        <w:rPr>
          <w:rFonts w:ascii="Aptos" w:hAnsi="Aptos" w:cs="Times New Roman"/>
          <w:sz w:val="24"/>
          <w:szCs w:val="24"/>
        </w:rPr>
        <w:t>.*</w:t>
      </w:r>
      <w:r w:rsidR="00944880">
        <w:rPr>
          <w:rFonts w:ascii="Aptos" w:hAnsi="Aptos" w:cs="Times New Roman"/>
          <w:sz w:val="24"/>
          <w:szCs w:val="24"/>
        </w:rPr>
        <w:t xml:space="preserve"> </w:t>
      </w:r>
      <w:r w:rsidR="005C18CF" w:rsidRPr="005C18CF">
        <w:rPr>
          <w:rFonts w:ascii="Aptos" w:hAnsi="Aptos" w:cs="Times New Roman"/>
          <w:sz w:val="24"/>
          <w:szCs w:val="24"/>
        </w:rPr>
        <w:t>Caernarvon O&amp;M - CPRA</w:t>
      </w:r>
    </w:p>
    <w:p w14:paraId="03B4B761" w14:textId="77777777" w:rsidR="00CA73D6" w:rsidRPr="007B0C40" w:rsidRDefault="00CA73D6" w:rsidP="007B0C40">
      <w:pPr>
        <w:spacing w:after="0" w:line="240" w:lineRule="auto"/>
        <w:rPr>
          <w:rFonts w:ascii="Aptos" w:hAnsi="Aptos" w:cs="Times New Roman"/>
          <w:b/>
          <w:bCs/>
          <w:sz w:val="24"/>
          <w:szCs w:val="24"/>
        </w:rPr>
      </w:pPr>
    </w:p>
    <w:p w14:paraId="46EBAB20"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5A10CEE1"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51DD68ED" w14:textId="77777777" w:rsidR="00941E1A" w:rsidRPr="007B0C40" w:rsidRDefault="00941E1A" w:rsidP="007B0C40">
      <w:pPr>
        <w:pStyle w:val="Default"/>
        <w:ind w:left="540"/>
        <w:rPr>
          <w:rFonts w:ascii="Aptos" w:hAnsi="Aptos"/>
        </w:rPr>
      </w:pPr>
    </w:p>
    <w:p w14:paraId="360F281C"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7E82961B" w14:textId="77777777" w:rsidR="00983322" w:rsidRPr="007B0C40" w:rsidRDefault="00983322" w:rsidP="007B0C40">
      <w:pPr>
        <w:pStyle w:val="Default"/>
        <w:ind w:left="540" w:hanging="540"/>
        <w:rPr>
          <w:rFonts w:ascii="Aptos" w:hAnsi="Aptos"/>
        </w:rPr>
      </w:pPr>
    </w:p>
    <w:p w14:paraId="72C58523"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1E918F52"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5133FD27"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52839C21" w14:textId="77777777" w:rsidR="00983322" w:rsidRPr="007B0C40" w:rsidRDefault="00983322" w:rsidP="007B0C40">
      <w:pPr>
        <w:pStyle w:val="Default"/>
        <w:ind w:left="540"/>
        <w:rPr>
          <w:rFonts w:ascii="Aptos" w:hAnsi="Aptos"/>
        </w:rPr>
      </w:pPr>
      <w:r w:rsidRPr="007B0C40">
        <w:rPr>
          <w:rFonts w:ascii="Aptos" w:hAnsi="Aptos"/>
        </w:rPr>
        <w:t>Baton Rouge, LA 70802</w:t>
      </w:r>
    </w:p>
    <w:p w14:paraId="1E098B76" w14:textId="77777777" w:rsidR="00983322" w:rsidRPr="007B0C40" w:rsidRDefault="00983322" w:rsidP="007B0C40">
      <w:pPr>
        <w:pStyle w:val="Default"/>
        <w:ind w:left="540" w:hanging="540"/>
        <w:rPr>
          <w:rFonts w:ascii="Aptos" w:hAnsi="Aptos"/>
        </w:rPr>
      </w:pPr>
    </w:p>
    <w:p w14:paraId="6F37EFCD"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4FF785AE" w14:textId="77777777" w:rsidR="00983322" w:rsidRPr="007B0C40" w:rsidRDefault="00983322" w:rsidP="007B0C40">
      <w:pPr>
        <w:pStyle w:val="Default"/>
        <w:ind w:left="540" w:hanging="540"/>
        <w:rPr>
          <w:rFonts w:ascii="Aptos" w:hAnsi="Aptos"/>
        </w:rPr>
      </w:pPr>
    </w:p>
    <w:p w14:paraId="65D047F0"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0264B954" w14:textId="77777777" w:rsidR="00983322" w:rsidRPr="007B0C40" w:rsidRDefault="00983322" w:rsidP="007B0C40">
      <w:pPr>
        <w:pStyle w:val="Default"/>
        <w:ind w:left="540" w:hanging="540"/>
        <w:rPr>
          <w:rFonts w:ascii="Aptos" w:hAnsi="Aptos"/>
        </w:rPr>
      </w:pPr>
    </w:p>
    <w:p w14:paraId="6D2677A5"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77C8F49E" w14:textId="77777777" w:rsidR="00983322" w:rsidRPr="007B0C40" w:rsidRDefault="00983322" w:rsidP="007B0C40">
      <w:pPr>
        <w:pStyle w:val="Default"/>
        <w:ind w:left="540" w:hanging="540"/>
        <w:rPr>
          <w:rFonts w:ascii="Aptos" w:hAnsi="Aptos"/>
        </w:rPr>
      </w:pPr>
    </w:p>
    <w:p w14:paraId="735D5618"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5EBCCAEE" w14:textId="77777777" w:rsidR="00983322" w:rsidRPr="007B0C40" w:rsidRDefault="00983322" w:rsidP="007B0C40">
      <w:pPr>
        <w:pStyle w:val="Default"/>
        <w:ind w:left="540" w:hanging="540"/>
        <w:rPr>
          <w:rFonts w:ascii="Aptos" w:hAnsi="Aptos"/>
        </w:rPr>
      </w:pPr>
    </w:p>
    <w:p w14:paraId="0BC2022D"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2CDA3989"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4ADE17A8"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453E6E88"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072343D5"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6EEDEF7C"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39094F39"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35311C31"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38135F8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5A440B04" w14:textId="77777777" w:rsidR="00305D3E" w:rsidRPr="007B0C40" w:rsidRDefault="00305D3E" w:rsidP="007B0C40">
      <w:pPr>
        <w:spacing w:after="0" w:line="240" w:lineRule="auto"/>
        <w:ind w:left="540" w:right="184" w:hanging="540"/>
        <w:rPr>
          <w:rFonts w:ascii="Aptos" w:hAnsi="Aptos" w:cs="Times New Roman"/>
          <w:sz w:val="24"/>
          <w:szCs w:val="24"/>
        </w:rPr>
      </w:pPr>
    </w:p>
    <w:p w14:paraId="7F677DE7"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405604DF"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3F05C5E3"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5B857E5D"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7B0C40">
        <w:rPr>
          <w:rFonts w:ascii="Aptos" w:eastAsia="PMingLiU" w:hAnsi="Aptos" w:cs="Times New Roman"/>
          <w:sz w:val="24"/>
          <w:szCs w:val="24"/>
          <w:lang w:eastAsia="zh-TW"/>
        </w:rPr>
        <w:t>of</w:t>
      </w:r>
      <w:proofErr w:type="gramEnd"/>
      <w:r w:rsidRPr="007B0C40">
        <w:rPr>
          <w:rFonts w:ascii="Aptos" w:eastAsia="PMingLiU" w:hAnsi="Aptos" w:cs="Times New Roman"/>
          <w:sz w:val="24"/>
          <w:szCs w:val="24"/>
          <w:lang w:eastAsia="zh-TW"/>
        </w:rPr>
        <w:t xml:space="preserve"> the Office of State Procurement.</w:t>
      </w:r>
    </w:p>
    <w:p w14:paraId="2B4D9B04"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5B40AB23"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AF250E1"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D15A88C"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62EFD06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251B25E9"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1D8A265A"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57EE01D7" w14:textId="77777777" w:rsidR="00305D3E" w:rsidRPr="007B0C40" w:rsidRDefault="00305D3E" w:rsidP="007B0C40">
      <w:pPr>
        <w:pStyle w:val="Style1"/>
        <w:jc w:val="left"/>
        <w:rPr>
          <w:rFonts w:ascii="Aptos" w:hAnsi="Aptos"/>
        </w:rPr>
      </w:pPr>
      <w:r w:rsidRPr="007B0C40">
        <w:rPr>
          <w:rFonts w:ascii="Aptos" w:hAnsi="Aptos"/>
        </w:rPr>
        <w:t>Freight Charges:</w:t>
      </w:r>
    </w:p>
    <w:p w14:paraId="60C98951"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2EA5DE11"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2C44EC66"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6B2DBDB3"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54D36227" w14:textId="77777777" w:rsidR="006E09BB" w:rsidRPr="007B0C40" w:rsidRDefault="006E09BB" w:rsidP="007B0C40">
      <w:pPr>
        <w:widowControl/>
        <w:spacing w:after="0" w:line="240" w:lineRule="auto"/>
        <w:ind w:left="540" w:hanging="540"/>
        <w:rPr>
          <w:rFonts w:ascii="Aptos" w:hAnsi="Aptos" w:cs="Times New Roman"/>
          <w:sz w:val="24"/>
          <w:szCs w:val="24"/>
        </w:rPr>
      </w:pPr>
    </w:p>
    <w:p w14:paraId="4C69622F"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01E8941F"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52872414" w14:textId="77777777" w:rsidR="00B77FC1" w:rsidRPr="007B0C40" w:rsidRDefault="00B77FC1" w:rsidP="007B0C40">
      <w:pPr>
        <w:widowControl/>
        <w:spacing w:after="0" w:line="240" w:lineRule="auto"/>
        <w:ind w:left="540" w:hanging="540"/>
        <w:rPr>
          <w:rFonts w:ascii="Aptos" w:hAnsi="Aptos" w:cs="Times New Roman"/>
          <w:sz w:val="24"/>
          <w:szCs w:val="24"/>
        </w:rPr>
      </w:pPr>
    </w:p>
    <w:p w14:paraId="258003AA"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3B19468F"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3B49F75" w14:textId="77777777" w:rsidR="00172F15" w:rsidRPr="007B0C40" w:rsidRDefault="00172F15" w:rsidP="007B0C40">
      <w:pPr>
        <w:widowControl/>
        <w:spacing w:after="0" w:line="240" w:lineRule="auto"/>
        <w:ind w:left="540" w:hanging="540"/>
        <w:rPr>
          <w:rFonts w:ascii="Aptos" w:hAnsi="Aptos" w:cs="Times New Roman"/>
          <w:sz w:val="24"/>
          <w:szCs w:val="24"/>
        </w:rPr>
      </w:pPr>
    </w:p>
    <w:p w14:paraId="53563E9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2EAC270F"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1D633C2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03064AA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36AB6E5" w14:textId="77777777" w:rsidR="00172F15" w:rsidRPr="007B0C40" w:rsidRDefault="00172F15" w:rsidP="007B0C40">
      <w:pPr>
        <w:widowControl/>
        <w:spacing w:after="0" w:line="240" w:lineRule="auto"/>
        <w:ind w:left="540" w:hanging="540"/>
        <w:rPr>
          <w:rFonts w:ascii="Aptos" w:hAnsi="Aptos" w:cs="Times New Roman"/>
          <w:sz w:val="24"/>
          <w:szCs w:val="24"/>
        </w:rPr>
      </w:pPr>
    </w:p>
    <w:p w14:paraId="4FF73AF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5A9D38E5" w14:textId="77777777" w:rsidR="00172F15" w:rsidRPr="007B0C40" w:rsidRDefault="00172F15" w:rsidP="007B0C40">
      <w:pPr>
        <w:widowControl/>
        <w:spacing w:after="0" w:line="240" w:lineRule="auto"/>
        <w:ind w:left="540" w:hanging="540"/>
        <w:rPr>
          <w:rFonts w:ascii="Aptos" w:hAnsi="Aptos" w:cs="Times New Roman"/>
          <w:sz w:val="24"/>
          <w:szCs w:val="24"/>
        </w:rPr>
      </w:pPr>
    </w:p>
    <w:p w14:paraId="5C9C810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7B0DFF11" w14:textId="77777777" w:rsidR="00172F15" w:rsidRPr="007B0C40" w:rsidRDefault="00172F15" w:rsidP="007B0C40">
      <w:pPr>
        <w:widowControl/>
        <w:spacing w:after="0" w:line="240" w:lineRule="auto"/>
        <w:ind w:left="540" w:hanging="540"/>
        <w:rPr>
          <w:rFonts w:ascii="Aptos" w:hAnsi="Aptos" w:cs="Times New Roman"/>
          <w:sz w:val="24"/>
          <w:szCs w:val="24"/>
        </w:rPr>
      </w:pPr>
    </w:p>
    <w:p w14:paraId="62FF2B1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7225956E" w14:textId="77777777" w:rsidR="00172F15" w:rsidRPr="007B0C40" w:rsidRDefault="00172F15" w:rsidP="007B0C40">
      <w:pPr>
        <w:widowControl/>
        <w:spacing w:after="0" w:line="240" w:lineRule="auto"/>
        <w:ind w:left="540" w:hanging="540"/>
        <w:rPr>
          <w:rFonts w:ascii="Aptos" w:hAnsi="Aptos" w:cs="Times New Roman"/>
          <w:sz w:val="24"/>
          <w:szCs w:val="24"/>
        </w:rPr>
      </w:pPr>
    </w:p>
    <w:p w14:paraId="26E2890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BAEE8DE"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6028700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0A5DAAA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668D622"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EBADC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2771D9C"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5EB7D3D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46EE2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352AD1C4"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46BE1B41"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628584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4CFFA4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9C0749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7746A58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C499EA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5F58993A"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4FB2C32"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2DB6A1C"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068275E3"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5F1446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3DA1370"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0028785F"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B9E8F55"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7CED79E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3D6AB331" w14:textId="77777777" w:rsidR="00FB64C9" w:rsidRPr="007B0C40" w:rsidRDefault="00FB64C9" w:rsidP="00830E2F">
      <w:pPr>
        <w:pStyle w:val="Style1"/>
        <w:ind w:left="540"/>
        <w:jc w:val="left"/>
        <w:rPr>
          <w:rFonts w:ascii="Aptos" w:hAnsi="Aptos"/>
        </w:rPr>
      </w:pPr>
      <w:r w:rsidRPr="007B0C40">
        <w:rPr>
          <w:rFonts w:ascii="Aptos" w:hAnsi="Aptos"/>
        </w:rPr>
        <w:t>Contract Period:</w:t>
      </w:r>
    </w:p>
    <w:p w14:paraId="416926A8" w14:textId="53021452"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010B8E">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010B8E">
        <w:rPr>
          <w:rFonts w:ascii="Aptos" w:hAnsi="Aptos" w:cs="Times New Roman"/>
          <w:sz w:val="24"/>
          <w:szCs w:val="24"/>
        </w:rPr>
        <w:t>2027.</w:t>
      </w:r>
    </w:p>
    <w:p w14:paraId="047AA5DC" w14:textId="77777777" w:rsidR="00944880" w:rsidRPr="007B0C40" w:rsidRDefault="00944880" w:rsidP="007B0C40">
      <w:pPr>
        <w:pStyle w:val="ListParagraph"/>
        <w:spacing w:after="0" w:line="240" w:lineRule="auto"/>
        <w:ind w:left="576"/>
        <w:rPr>
          <w:rFonts w:ascii="Aptos" w:hAnsi="Aptos" w:cs="Times New Roman"/>
          <w:sz w:val="24"/>
          <w:szCs w:val="24"/>
        </w:rPr>
      </w:pPr>
    </w:p>
    <w:p w14:paraId="3BAC65D1" w14:textId="77777777" w:rsidR="00944880" w:rsidRPr="007B0C40" w:rsidRDefault="00944880" w:rsidP="00944880">
      <w:pPr>
        <w:pStyle w:val="Style1"/>
        <w:jc w:val="left"/>
        <w:rPr>
          <w:rFonts w:ascii="Aptos" w:hAnsi="Aptos"/>
        </w:rPr>
      </w:pPr>
      <w:r w:rsidRPr="007B0C40">
        <w:rPr>
          <w:rFonts w:ascii="Aptos" w:hAnsi="Aptos"/>
        </w:rPr>
        <w:t>Renewal Option:</w:t>
      </w:r>
    </w:p>
    <w:p w14:paraId="5FCAD33F" w14:textId="77777777" w:rsidR="00944880" w:rsidRDefault="00944880" w:rsidP="0094488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79FCDC49" w14:textId="77777777" w:rsidR="00FB64C9" w:rsidRPr="007B0C40" w:rsidRDefault="00FB64C9" w:rsidP="007B0C40">
      <w:pPr>
        <w:pStyle w:val="ListParagraph"/>
        <w:spacing w:after="0" w:line="240" w:lineRule="auto"/>
        <w:ind w:left="0"/>
        <w:rPr>
          <w:rFonts w:ascii="Aptos" w:hAnsi="Aptos" w:cs="Times New Roman"/>
          <w:sz w:val="24"/>
          <w:szCs w:val="24"/>
        </w:rPr>
      </w:pPr>
    </w:p>
    <w:p w14:paraId="749BD3E1"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6CBE7FF9" w14:textId="4D3E8B87" w:rsidR="00FB64C9" w:rsidRPr="007B0C40" w:rsidRDefault="00FB64C9" w:rsidP="007A0F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714778E2" w14:textId="77777777" w:rsidR="00FB64C9" w:rsidRPr="007B0C40" w:rsidRDefault="00FB64C9" w:rsidP="007B0C40">
      <w:pPr>
        <w:spacing w:after="0" w:line="240" w:lineRule="auto"/>
        <w:ind w:left="720"/>
        <w:contextualSpacing/>
        <w:rPr>
          <w:rFonts w:ascii="Aptos" w:hAnsi="Aptos" w:cs="Times New Roman"/>
          <w:sz w:val="24"/>
          <w:szCs w:val="24"/>
        </w:rPr>
      </w:pPr>
    </w:p>
    <w:p w14:paraId="5DF56E5C"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605F7AB9" w14:textId="77777777" w:rsidR="005274D7" w:rsidRPr="005274D7" w:rsidRDefault="005274D7" w:rsidP="005274D7">
      <w:pPr>
        <w:pStyle w:val="ListParagraph"/>
        <w:spacing w:after="0" w:line="240" w:lineRule="auto"/>
        <w:ind w:left="576"/>
        <w:rPr>
          <w:rFonts w:ascii="Aptos" w:hAnsi="Aptos" w:cs="Times New Roman"/>
          <w:sz w:val="24"/>
          <w:szCs w:val="24"/>
        </w:rPr>
      </w:pPr>
      <w:r w:rsidRPr="005274D7">
        <w:rPr>
          <w:rFonts w:ascii="Aptos" w:hAnsi="Aptos"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42E0076E" w14:textId="77777777" w:rsidR="0045197F" w:rsidRDefault="0045197F" w:rsidP="007B0C40">
      <w:pPr>
        <w:widowControl/>
        <w:spacing w:after="0" w:line="240" w:lineRule="auto"/>
        <w:ind w:left="576"/>
        <w:contextualSpacing/>
        <w:rPr>
          <w:rFonts w:ascii="Aptos" w:eastAsia="Times New Roman" w:hAnsi="Aptos" w:cs="Times New Roman"/>
          <w:sz w:val="24"/>
          <w:szCs w:val="24"/>
        </w:rPr>
      </w:pPr>
    </w:p>
    <w:p w14:paraId="7C6DE11F" w14:textId="67B7E165" w:rsidR="0045197F" w:rsidRPr="005C18CF" w:rsidRDefault="0045197F" w:rsidP="005C18CF">
      <w:pPr>
        <w:pStyle w:val="Style1"/>
        <w:numPr>
          <w:ilvl w:val="0"/>
          <w:numId w:val="0"/>
        </w:numPr>
        <w:ind w:left="270"/>
        <w:rPr>
          <w:rFonts w:eastAsia="Times New Roman"/>
        </w:rPr>
      </w:pPr>
      <w:r w:rsidRPr="0045197F">
        <w:rPr>
          <w:rFonts w:ascii="Aptos" w:eastAsia="Times New Roman" w:hAnsi="Aptos"/>
          <w:bCs/>
        </w:rPr>
        <w:t>16.</w:t>
      </w:r>
      <w:r>
        <w:rPr>
          <w:rFonts w:eastAsia="Times New Roman"/>
        </w:rPr>
        <w:t xml:space="preserve"> </w:t>
      </w:r>
      <w:r w:rsidRPr="005C18CF">
        <w:rPr>
          <w:rFonts w:ascii="Aptos" w:eastAsia="Times New Roman" w:hAnsi="Aptos"/>
          <w:bCs/>
        </w:rPr>
        <w:t>Non-Mandatory Pre-Bid Conference:</w:t>
      </w:r>
    </w:p>
    <w:p w14:paraId="3F650162" w14:textId="77777777" w:rsidR="004C3131" w:rsidRPr="004C3131"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Where</w:t>
      </w:r>
      <w:proofErr w:type="gramStart"/>
      <w:r w:rsidRPr="0045197F">
        <w:rPr>
          <w:rFonts w:ascii="Aptos" w:eastAsia="Times New Roman" w:hAnsi="Aptos" w:cs="Times New Roman"/>
          <w:sz w:val="24"/>
          <w:szCs w:val="24"/>
        </w:rPr>
        <w:t>:</w:t>
      </w:r>
      <w:r w:rsidRPr="0045197F">
        <w:rPr>
          <w:rFonts w:ascii="Aptos" w:eastAsia="Times New Roman" w:hAnsi="Aptos" w:cs="Times New Roman"/>
          <w:b/>
          <w:sz w:val="24"/>
          <w:szCs w:val="24"/>
        </w:rPr>
        <w:t xml:space="preserve">  </w:t>
      </w:r>
      <w:r w:rsidR="004C3131" w:rsidRPr="004C3131">
        <w:rPr>
          <w:rFonts w:ascii="Aptos" w:eastAsia="Times New Roman" w:hAnsi="Aptos" w:cs="Times New Roman"/>
          <w:sz w:val="24"/>
          <w:szCs w:val="24"/>
        </w:rPr>
        <w:t>Diversion</w:t>
      </w:r>
      <w:proofErr w:type="gramEnd"/>
      <w:r w:rsidR="004C3131" w:rsidRPr="004C3131">
        <w:rPr>
          <w:rFonts w:ascii="Aptos" w:eastAsia="Times New Roman" w:hAnsi="Aptos" w:cs="Times New Roman"/>
          <w:sz w:val="24"/>
          <w:szCs w:val="24"/>
        </w:rPr>
        <w:t xml:space="preserve"> Structure</w:t>
      </w:r>
    </w:p>
    <w:p w14:paraId="20F2DCED" w14:textId="6B245771" w:rsidR="004C3131" w:rsidRPr="004C3131" w:rsidRDefault="004C3131" w:rsidP="005C18CF">
      <w:pPr>
        <w:widowControl/>
        <w:spacing w:after="0" w:line="240" w:lineRule="auto"/>
        <w:ind w:left="720"/>
        <w:contextualSpacing/>
        <w:rPr>
          <w:rFonts w:ascii="Aptos" w:eastAsia="Times New Roman" w:hAnsi="Aptos" w:cs="Times New Roman"/>
          <w:sz w:val="24"/>
          <w:szCs w:val="24"/>
        </w:rPr>
      </w:pPr>
      <w:r w:rsidRPr="004C3131">
        <w:rPr>
          <w:rFonts w:ascii="Aptos" w:eastAsia="Times New Roman" w:hAnsi="Aptos" w:cs="Times New Roman"/>
          <w:sz w:val="24"/>
          <w:szCs w:val="24"/>
        </w:rPr>
        <w:t>The Diversion Structure is located just past the floodwall as you enter Plaquemines Parish on LA Hwy 39 on the Mississippi River levee in Braithwaite, LA</w:t>
      </w:r>
      <w:r w:rsidR="00F55E1B">
        <w:rPr>
          <w:rFonts w:ascii="Aptos" w:eastAsia="Times New Roman" w:hAnsi="Aptos" w:cs="Times New Roman"/>
          <w:sz w:val="24"/>
          <w:szCs w:val="24"/>
        </w:rPr>
        <w:t xml:space="preserve"> at mile 81.5.</w:t>
      </w:r>
    </w:p>
    <w:p w14:paraId="20123F26" w14:textId="77777777" w:rsidR="004C3131" w:rsidRPr="004C3131" w:rsidRDefault="004C3131" w:rsidP="005C18CF">
      <w:pPr>
        <w:widowControl/>
        <w:spacing w:after="0" w:line="240" w:lineRule="auto"/>
        <w:ind w:left="720"/>
        <w:contextualSpacing/>
        <w:rPr>
          <w:rFonts w:ascii="Aptos" w:eastAsia="Times New Roman" w:hAnsi="Aptos" w:cs="Times New Roman"/>
          <w:sz w:val="24"/>
          <w:szCs w:val="24"/>
        </w:rPr>
      </w:pPr>
    </w:p>
    <w:p w14:paraId="770D607B" w14:textId="77777777" w:rsidR="004C3131" w:rsidRPr="004C3131" w:rsidRDefault="004C3131" w:rsidP="005C18CF">
      <w:pPr>
        <w:widowControl/>
        <w:spacing w:after="0" w:line="240" w:lineRule="auto"/>
        <w:ind w:left="720"/>
        <w:contextualSpacing/>
        <w:rPr>
          <w:rFonts w:ascii="Aptos" w:eastAsia="Times New Roman" w:hAnsi="Aptos" w:cs="Times New Roman"/>
          <w:sz w:val="24"/>
          <w:szCs w:val="24"/>
        </w:rPr>
      </w:pPr>
      <w:r w:rsidRPr="004C3131">
        <w:rPr>
          <w:rFonts w:ascii="Aptos" w:eastAsia="Times New Roman" w:hAnsi="Aptos" w:cs="Times New Roman"/>
          <w:sz w:val="24"/>
          <w:szCs w:val="24"/>
        </w:rPr>
        <w:t xml:space="preserve">Attendees should park on the opposite side of LA HWY 39 from </w:t>
      </w:r>
      <w:proofErr w:type="gramStart"/>
      <w:r w:rsidRPr="004C3131">
        <w:rPr>
          <w:rFonts w:ascii="Aptos" w:eastAsia="Times New Roman" w:hAnsi="Aptos" w:cs="Times New Roman"/>
          <w:sz w:val="24"/>
          <w:szCs w:val="24"/>
        </w:rPr>
        <w:t>the structure</w:t>
      </w:r>
      <w:proofErr w:type="gramEnd"/>
      <w:r w:rsidRPr="004C3131">
        <w:rPr>
          <w:rFonts w:ascii="Aptos" w:eastAsia="Times New Roman" w:hAnsi="Aptos" w:cs="Times New Roman"/>
          <w:sz w:val="24"/>
          <w:szCs w:val="24"/>
        </w:rPr>
        <w:t xml:space="preserve"> gates and walk up to the structure.  Attendees should be sure not to block or impede the adjacent driveway when parking.</w:t>
      </w:r>
    </w:p>
    <w:p w14:paraId="416AC9E7" w14:textId="573B3A0E" w:rsidR="0045197F" w:rsidRPr="0045197F" w:rsidRDefault="0045197F" w:rsidP="005C18CF">
      <w:pPr>
        <w:widowControl/>
        <w:spacing w:after="0" w:line="240" w:lineRule="auto"/>
        <w:ind w:left="720"/>
        <w:contextualSpacing/>
        <w:rPr>
          <w:rFonts w:ascii="Aptos" w:eastAsia="Times New Roman" w:hAnsi="Aptos" w:cs="Times New Roman"/>
          <w:sz w:val="24"/>
          <w:szCs w:val="24"/>
        </w:rPr>
      </w:pPr>
    </w:p>
    <w:p w14:paraId="38D0817A" w14:textId="73101146"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When</w:t>
      </w:r>
      <w:proofErr w:type="gramStart"/>
      <w:r w:rsidRPr="0045197F">
        <w:rPr>
          <w:rFonts w:ascii="Aptos" w:eastAsia="Times New Roman" w:hAnsi="Aptos" w:cs="Times New Roman"/>
          <w:sz w:val="24"/>
          <w:szCs w:val="24"/>
        </w:rPr>
        <w:t>:</w:t>
      </w:r>
      <w:r w:rsidRPr="0045197F">
        <w:rPr>
          <w:rFonts w:ascii="Aptos" w:eastAsia="Times New Roman" w:hAnsi="Aptos" w:cs="Times New Roman"/>
          <w:b/>
          <w:sz w:val="24"/>
          <w:szCs w:val="24"/>
        </w:rPr>
        <w:t xml:space="preserve">  </w:t>
      </w:r>
      <w:r w:rsidR="004C3131">
        <w:rPr>
          <w:rFonts w:ascii="Aptos" w:eastAsia="Times New Roman" w:hAnsi="Aptos" w:cs="Times New Roman"/>
          <w:sz w:val="24"/>
          <w:szCs w:val="24"/>
        </w:rPr>
        <w:t>0</w:t>
      </w:r>
      <w:r w:rsidR="00944880">
        <w:rPr>
          <w:rFonts w:ascii="Aptos" w:eastAsia="Times New Roman" w:hAnsi="Aptos" w:cs="Times New Roman"/>
          <w:sz w:val="24"/>
          <w:szCs w:val="24"/>
        </w:rPr>
        <w:t>5</w:t>
      </w:r>
      <w:proofErr w:type="gramEnd"/>
      <w:r w:rsidR="004C3131">
        <w:rPr>
          <w:rFonts w:ascii="Aptos" w:eastAsia="Times New Roman" w:hAnsi="Aptos" w:cs="Times New Roman"/>
          <w:sz w:val="24"/>
          <w:szCs w:val="24"/>
        </w:rPr>
        <w:t>/</w:t>
      </w:r>
      <w:r w:rsidR="00944880">
        <w:rPr>
          <w:rFonts w:ascii="Aptos" w:eastAsia="Times New Roman" w:hAnsi="Aptos" w:cs="Times New Roman"/>
          <w:sz w:val="24"/>
          <w:szCs w:val="24"/>
        </w:rPr>
        <w:t>0</w:t>
      </w:r>
      <w:r w:rsidR="000502F8">
        <w:rPr>
          <w:rFonts w:ascii="Aptos" w:eastAsia="Times New Roman" w:hAnsi="Aptos" w:cs="Times New Roman"/>
          <w:sz w:val="24"/>
          <w:szCs w:val="24"/>
        </w:rPr>
        <w:t>5</w:t>
      </w:r>
      <w:r w:rsidR="004C3131">
        <w:rPr>
          <w:rFonts w:ascii="Aptos" w:eastAsia="Times New Roman" w:hAnsi="Aptos" w:cs="Times New Roman"/>
          <w:sz w:val="24"/>
          <w:szCs w:val="24"/>
        </w:rPr>
        <w:t>/2026 at</w:t>
      </w:r>
      <w:r w:rsidR="00944880">
        <w:rPr>
          <w:rFonts w:ascii="Aptos" w:eastAsia="Times New Roman" w:hAnsi="Aptos" w:cs="Times New Roman"/>
          <w:sz w:val="24"/>
          <w:szCs w:val="24"/>
        </w:rPr>
        <w:t xml:space="preserve"> 10:00 AM CT</w:t>
      </w:r>
      <w:r w:rsidR="004C3131">
        <w:rPr>
          <w:rFonts w:ascii="Aptos" w:eastAsia="Times New Roman" w:hAnsi="Aptos" w:cs="Times New Roman"/>
          <w:sz w:val="24"/>
          <w:szCs w:val="24"/>
        </w:rPr>
        <w:t xml:space="preserve"> </w:t>
      </w:r>
    </w:p>
    <w:p w14:paraId="32040801" w14:textId="77777777" w:rsidR="0045197F" w:rsidRPr="0045197F" w:rsidRDefault="0045197F" w:rsidP="005C18CF">
      <w:pPr>
        <w:widowControl/>
        <w:spacing w:after="0" w:line="240" w:lineRule="auto"/>
        <w:ind w:left="720"/>
        <w:contextualSpacing/>
        <w:rPr>
          <w:rFonts w:ascii="Aptos" w:eastAsia="Times New Roman" w:hAnsi="Aptos" w:cs="Times New Roman"/>
          <w:b/>
          <w:sz w:val="24"/>
          <w:szCs w:val="24"/>
        </w:rPr>
      </w:pPr>
    </w:p>
    <w:p w14:paraId="5FB3CA4E" w14:textId="38F75CC5"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 xml:space="preserve">Vendor may contact </w:t>
      </w:r>
      <w:r w:rsidR="004C3131">
        <w:rPr>
          <w:rFonts w:ascii="Aptos" w:eastAsia="Times New Roman" w:hAnsi="Aptos" w:cs="Times New Roman"/>
          <w:b/>
          <w:sz w:val="24"/>
          <w:szCs w:val="24"/>
          <w:u w:val="single"/>
        </w:rPr>
        <w:t>David Chambers at (504)280-4069 or David.Chambers@la.gov</w:t>
      </w:r>
      <w:r w:rsidRPr="0045197F">
        <w:rPr>
          <w:rFonts w:ascii="Aptos" w:eastAsia="Times New Roman" w:hAnsi="Aptos" w:cs="Times New Roman"/>
          <w:b/>
          <w:sz w:val="24"/>
          <w:szCs w:val="24"/>
          <w:u w:val="single"/>
        </w:rPr>
        <w:t xml:space="preserve"> </w:t>
      </w:r>
      <w:r w:rsidRPr="0045197F">
        <w:rPr>
          <w:rFonts w:ascii="Aptos" w:eastAsia="Times New Roman" w:hAnsi="Aptos" w:cs="Times New Roman"/>
          <w:sz w:val="24"/>
          <w:szCs w:val="24"/>
        </w:rPr>
        <w:t>to get additional information.</w:t>
      </w:r>
    </w:p>
    <w:p w14:paraId="0F64F82B" w14:textId="77777777" w:rsidR="0045197F" w:rsidRPr="0045197F" w:rsidRDefault="0045197F" w:rsidP="005C18CF">
      <w:pPr>
        <w:widowControl/>
        <w:spacing w:after="0" w:line="240" w:lineRule="auto"/>
        <w:ind w:left="720"/>
        <w:contextualSpacing/>
        <w:rPr>
          <w:rFonts w:ascii="Aptos" w:eastAsia="Times New Roman" w:hAnsi="Aptos" w:cs="Times New Roman"/>
          <w:sz w:val="24"/>
          <w:szCs w:val="24"/>
        </w:rPr>
      </w:pPr>
    </w:p>
    <w:p w14:paraId="2F913754" w14:textId="77777777"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 xml:space="preserve">An inquiry period is hereby firmly set for all interested bidders to perform a detailed review of the bid documents and to submit any written </w:t>
      </w:r>
      <w:proofErr w:type="gramStart"/>
      <w:r w:rsidRPr="0045197F">
        <w:rPr>
          <w:rFonts w:ascii="Aptos" w:eastAsia="Times New Roman" w:hAnsi="Aptos" w:cs="Times New Roman"/>
          <w:sz w:val="24"/>
          <w:szCs w:val="24"/>
        </w:rPr>
        <w:t>inquires</w:t>
      </w:r>
      <w:proofErr w:type="gramEnd"/>
      <w:r w:rsidRPr="0045197F">
        <w:rPr>
          <w:rFonts w:ascii="Aptos" w:eastAsia="Times New Roman" w:hAnsi="Aptos" w:cs="Times New Roman"/>
          <w:sz w:val="24"/>
          <w:szCs w:val="24"/>
        </w:rPr>
        <w:t xml:space="preserve"> relative thereto.  Without exception, all inquiries must be submitted in writing by an authorized representative of the proposer, clearly cross-referenced to the relevant bid section.  All inquiries must be received by the Inquiry Deadline date set forth in the Calendar of Events section below. Only those inquiries received by the established deadline shall be considered by the State. Inquiries received after the established deadline shall not be entertained.</w:t>
      </w:r>
    </w:p>
    <w:p w14:paraId="710463B6" w14:textId="77777777" w:rsidR="0045197F" w:rsidRPr="0045197F" w:rsidRDefault="0045197F" w:rsidP="005C18CF">
      <w:pPr>
        <w:widowControl/>
        <w:spacing w:after="0" w:line="240" w:lineRule="auto"/>
        <w:ind w:left="720"/>
        <w:contextualSpacing/>
        <w:rPr>
          <w:rFonts w:ascii="Aptos" w:eastAsia="Times New Roman" w:hAnsi="Aptos" w:cs="Times New Roman"/>
          <w:sz w:val="24"/>
          <w:szCs w:val="24"/>
        </w:rPr>
      </w:pPr>
    </w:p>
    <w:p w14:paraId="507220EC" w14:textId="77777777" w:rsidR="0045197F" w:rsidRPr="0045197F" w:rsidRDefault="0045197F" w:rsidP="005C18CF">
      <w:pPr>
        <w:widowControl/>
        <w:spacing w:after="0" w:line="240" w:lineRule="auto"/>
        <w:ind w:left="720"/>
        <w:contextualSpacing/>
        <w:rPr>
          <w:rFonts w:ascii="Aptos" w:eastAsia="Times New Roman" w:hAnsi="Aptos" w:cs="Times New Roman"/>
          <w:b/>
          <w:sz w:val="24"/>
          <w:szCs w:val="24"/>
        </w:rPr>
      </w:pPr>
      <w:r w:rsidRPr="0045197F">
        <w:rPr>
          <w:rFonts w:ascii="Aptos" w:eastAsia="Times New Roman" w:hAnsi="Aptos" w:cs="Times New Roman"/>
          <w:b/>
          <w:sz w:val="24"/>
          <w:szCs w:val="24"/>
        </w:rPr>
        <w:t>Calendar of Events:</w:t>
      </w:r>
    </w:p>
    <w:p w14:paraId="4565D57A" w14:textId="4F8B5B27"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Release Bid</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t>0</w:t>
      </w:r>
      <w:r w:rsidR="004C3131">
        <w:rPr>
          <w:rFonts w:ascii="Aptos" w:eastAsia="Times New Roman" w:hAnsi="Aptos" w:cs="Times New Roman"/>
          <w:sz w:val="24"/>
          <w:szCs w:val="24"/>
        </w:rPr>
        <w:t>4</w:t>
      </w:r>
      <w:r w:rsidRPr="0045197F">
        <w:rPr>
          <w:rFonts w:ascii="Aptos" w:eastAsia="Times New Roman" w:hAnsi="Aptos" w:cs="Times New Roman"/>
          <w:sz w:val="24"/>
          <w:szCs w:val="24"/>
        </w:rPr>
        <w:t>/</w:t>
      </w:r>
      <w:r w:rsidR="005C18CF">
        <w:rPr>
          <w:rFonts w:ascii="Aptos" w:eastAsia="Times New Roman" w:hAnsi="Aptos" w:cs="Times New Roman"/>
          <w:sz w:val="24"/>
          <w:szCs w:val="24"/>
        </w:rPr>
        <w:t>2</w:t>
      </w:r>
      <w:r w:rsidR="00944880">
        <w:rPr>
          <w:rFonts w:ascii="Aptos" w:eastAsia="Times New Roman" w:hAnsi="Aptos" w:cs="Times New Roman"/>
          <w:sz w:val="24"/>
          <w:szCs w:val="24"/>
        </w:rPr>
        <w:t>2</w:t>
      </w:r>
      <w:r w:rsidRPr="0045197F">
        <w:rPr>
          <w:rFonts w:ascii="Aptos" w:eastAsia="Times New Roman" w:hAnsi="Aptos" w:cs="Times New Roman"/>
          <w:sz w:val="24"/>
          <w:szCs w:val="24"/>
        </w:rPr>
        <w:t>/2</w:t>
      </w:r>
      <w:r w:rsidR="004C3131">
        <w:rPr>
          <w:rFonts w:ascii="Aptos" w:eastAsia="Times New Roman" w:hAnsi="Aptos" w:cs="Times New Roman"/>
          <w:sz w:val="24"/>
          <w:szCs w:val="24"/>
        </w:rPr>
        <w:t>6</w:t>
      </w:r>
    </w:p>
    <w:p w14:paraId="6EBB77B1" w14:textId="2FDCEDA4"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Pre-Bid Conference</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t>0</w:t>
      </w:r>
      <w:r w:rsidR="005C18CF">
        <w:rPr>
          <w:rFonts w:ascii="Aptos" w:eastAsia="Times New Roman" w:hAnsi="Aptos" w:cs="Times New Roman"/>
          <w:sz w:val="24"/>
          <w:szCs w:val="24"/>
        </w:rPr>
        <w:t>5</w:t>
      </w:r>
      <w:r w:rsidRPr="0045197F">
        <w:rPr>
          <w:rFonts w:ascii="Aptos" w:eastAsia="Times New Roman" w:hAnsi="Aptos" w:cs="Times New Roman"/>
          <w:sz w:val="24"/>
          <w:szCs w:val="24"/>
        </w:rPr>
        <w:t>/</w:t>
      </w:r>
      <w:r w:rsidR="005C18CF">
        <w:rPr>
          <w:rFonts w:ascii="Aptos" w:eastAsia="Times New Roman" w:hAnsi="Aptos" w:cs="Times New Roman"/>
          <w:sz w:val="24"/>
          <w:szCs w:val="24"/>
        </w:rPr>
        <w:t>0</w:t>
      </w:r>
      <w:r w:rsidR="00D039A5">
        <w:rPr>
          <w:rFonts w:ascii="Aptos" w:eastAsia="Times New Roman" w:hAnsi="Aptos" w:cs="Times New Roman"/>
          <w:sz w:val="24"/>
          <w:szCs w:val="24"/>
        </w:rPr>
        <w:t>5</w:t>
      </w:r>
      <w:r w:rsidRPr="0045197F">
        <w:rPr>
          <w:rFonts w:ascii="Aptos" w:eastAsia="Times New Roman" w:hAnsi="Aptos" w:cs="Times New Roman"/>
          <w:sz w:val="24"/>
          <w:szCs w:val="24"/>
        </w:rPr>
        <w:t>/2</w:t>
      </w:r>
      <w:r w:rsidR="004C3131">
        <w:rPr>
          <w:rFonts w:ascii="Aptos" w:eastAsia="Times New Roman" w:hAnsi="Aptos" w:cs="Times New Roman"/>
          <w:sz w:val="24"/>
          <w:szCs w:val="24"/>
        </w:rPr>
        <w:t>6</w:t>
      </w:r>
    </w:p>
    <w:p w14:paraId="28EBC15B" w14:textId="04A972B5"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 xml:space="preserve">Deadline to Receive Vendor Inquiries </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t>0</w:t>
      </w:r>
      <w:r w:rsidR="004C3131">
        <w:rPr>
          <w:rFonts w:ascii="Aptos" w:eastAsia="Times New Roman" w:hAnsi="Aptos" w:cs="Times New Roman"/>
          <w:sz w:val="24"/>
          <w:szCs w:val="24"/>
        </w:rPr>
        <w:t>5</w:t>
      </w:r>
      <w:r w:rsidRPr="0045197F">
        <w:rPr>
          <w:rFonts w:ascii="Aptos" w:eastAsia="Times New Roman" w:hAnsi="Aptos" w:cs="Times New Roman"/>
          <w:sz w:val="24"/>
          <w:szCs w:val="24"/>
        </w:rPr>
        <w:t>/</w:t>
      </w:r>
      <w:r w:rsidR="00944880">
        <w:rPr>
          <w:rFonts w:ascii="Aptos" w:eastAsia="Times New Roman" w:hAnsi="Aptos" w:cs="Times New Roman"/>
          <w:sz w:val="24"/>
          <w:szCs w:val="24"/>
        </w:rPr>
        <w:t>1</w:t>
      </w:r>
      <w:r w:rsidR="00D039A5">
        <w:rPr>
          <w:rFonts w:ascii="Aptos" w:eastAsia="Times New Roman" w:hAnsi="Aptos" w:cs="Times New Roman"/>
          <w:sz w:val="24"/>
          <w:szCs w:val="24"/>
        </w:rPr>
        <w:t>2</w:t>
      </w:r>
      <w:r w:rsidRPr="0045197F">
        <w:rPr>
          <w:rFonts w:ascii="Aptos" w:eastAsia="Times New Roman" w:hAnsi="Aptos" w:cs="Times New Roman"/>
          <w:sz w:val="24"/>
          <w:szCs w:val="24"/>
        </w:rPr>
        <w:t>/2</w:t>
      </w:r>
      <w:r w:rsidR="004C3131">
        <w:rPr>
          <w:rFonts w:ascii="Aptos" w:eastAsia="Times New Roman" w:hAnsi="Aptos" w:cs="Times New Roman"/>
          <w:sz w:val="24"/>
          <w:szCs w:val="24"/>
        </w:rPr>
        <w:t>6</w:t>
      </w:r>
    </w:p>
    <w:p w14:paraId="776583DE" w14:textId="50D76466"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 xml:space="preserve">OSP Response to Inquiries </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004C3131">
        <w:rPr>
          <w:rFonts w:ascii="Aptos" w:eastAsia="Times New Roman" w:hAnsi="Aptos" w:cs="Times New Roman"/>
          <w:sz w:val="24"/>
          <w:szCs w:val="24"/>
        </w:rPr>
        <w:t>05</w:t>
      </w:r>
      <w:r w:rsidRPr="0045197F">
        <w:rPr>
          <w:rFonts w:ascii="Aptos" w:eastAsia="Times New Roman" w:hAnsi="Aptos" w:cs="Times New Roman"/>
          <w:sz w:val="24"/>
          <w:szCs w:val="24"/>
        </w:rPr>
        <w:t>/</w:t>
      </w:r>
      <w:r w:rsidR="004C3131">
        <w:rPr>
          <w:rFonts w:ascii="Aptos" w:eastAsia="Times New Roman" w:hAnsi="Aptos" w:cs="Times New Roman"/>
          <w:sz w:val="24"/>
          <w:szCs w:val="24"/>
        </w:rPr>
        <w:t>1</w:t>
      </w:r>
      <w:r w:rsidR="00D039A5">
        <w:rPr>
          <w:rFonts w:ascii="Aptos" w:eastAsia="Times New Roman" w:hAnsi="Aptos" w:cs="Times New Roman"/>
          <w:sz w:val="24"/>
          <w:szCs w:val="24"/>
        </w:rPr>
        <w:t>9</w:t>
      </w:r>
      <w:r w:rsidRPr="0045197F">
        <w:rPr>
          <w:rFonts w:ascii="Aptos" w:eastAsia="Times New Roman" w:hAnsi="Aptos" w:cs="Times New Roman"/>
          <w:sz w:val="24"/>
          <w:szCs w:val="24"/>
        </w:rPr>
        <w:t>/2</w:t>
      </w:r>
      <w:r w:rsidR="004C3131">
        <w:rPr>
          <w:rFonts w:ascii="Aptos" w:eastAsia="Times New Roman" w:hAnsi="Aptos" w:cs="Times New Roman"/>
          <w:sz w:val="24"/>
          <w:szCs w:val="24"/>
        </w:rPr>
        <w:t>6</w:t>
      </w:r>
    </w:p>
    <w:p w14:paraId="0C80C440" w14:textId="59738D9E"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Bid Opening Date</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t>0</w:t>
      </w:r>
      <w:r w:rsidR="004C3131">
        <w:rPr>
          <w:rFonts w:ascii="Aptos" w:eastAsia="Times New Roman" w:hAnsi="Aptos" w:cs="Times New Roman"/>
          <w:sz w:val="24"/>
          <w:szCs w:val="24"/>
        </w:rPr>
        <w:t>5</w:t>
      </w:r>
      <w:r w:rsidRPr="0045197F">
        <w:rPr>
          <w:rFonts w:ascii="Aptos" w:eastAsia="Times New Roman" w:hAnsi="Aptos" w:cs="Times New Roman"/>
          <w:sz w:val="24"/>
          <w:szCs w:val="24"/>
        </w:rPr>
        <w:t>/</w:t>
      </w:r>
      <w:r w:rsidR="00411795">
        <w:rPr>
          <w:rFonts w:ascii="Aptos" w:eastAsia="Times New Roman" w:hAnsi="Aptos" w:cs="Times New Roman"/>
          <w:sz w:val="24"/>
          <w:szCs w:val="24"/>
        </w:rPr>
        <w:t>2</w:t>
      </w:r>
      <w:r w:rsidR="00944880">
        <w:rPr>
          <w:rFonts w:ascii="Aptos" w:eastAsia="Times New Roman" w:hAnsi="Aptos" w:cs="Times New Roman"/>
          <w:sz w:val="24"/>
          <w:szCs w:val="24"/>
        </w:rPr>
        <w:t>7</w:t>
      </w:r>
      <w:r w:rsidRPr="0045197F">
        <w:rPr>
          <w:rFonts w:ascii="Aptos" w:eastAsia="Times New Roman" w:hAnsi="Aptos" w:cs="Times New Roman"/>
          <w:sz w:val="24"/>
          <w:szCs w:val="24"/>
        </w:rPr>
        <w:t>/2</w:t>
      </w:r>
      <w:r w:rsidR="004C3131">
        <w:rPr>
          <w:rFonts w:ascii="Aptos" w:eastAsia="Times New Roman" w:hAnsi="Aptos" w:cs="Times New Roman"/>
          <w:sz w:val="24"/>
          <w:szCs w:val="24"/>
        </w:rPr>
        <w:t>6</w:t>
      </w:r>
    </w:p>
    <w:p w14:paraId="42F5949B" w14:textId="77777777" w:rsidR="0045197F" w:rsidRPr="0045197F" w:rsidRDefault="0045197F" w:rsidP="005C18CF">
      <w:pPr>
        <w:widowControl/>
        <w:spacing w:after="0" w:line="240" w:lineRule="auto"/>
        <w:ind w:left="720"/>
        <w:contextualSpacing/>
        <w:rPr>
          <w:rFonts w:ascii="Aptos" w:eastAsia="Times New Roman" w:hAnsi="Aptos" w:cs="Times New Roman"/>
          <w:sz w:val="24"/>
          <w:szCs w:val="24"/>
        </w:rPr>
      </w:pPr>
    </w:p>
    <w:p w14:paraId="6252D17A" w14:textId="77777777"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Inquiries concerning this bid may be delivered by email, hand, mail, or courier service to:</w:t>
      </w:r>
    </w:p>
    <w:p w14:paraId="1E3B26FD" w14:textId="77777777" w:rsidR="0045197F" w:rsidRPr="0045197F" w:rsidRDefault="0045197F" w:rsidP="005C18CF">
      <w:pPr>
        <w:widowControl/>
        <w:spacing w:after="0" w:line="240" w:lineRule="auto"/>
        <w:ind w:left="720"/>
        <w:contextualSpacing/>
        <w:rPr>
          <w:rFonts w:ascii="Aptos" w:eastAsia="Times New Roman" w:hAnsi="Aptos" w:cs="Times New Roman"/>
          <w:sz w:val="24"/>
          <w:szCs w:val="24"/>
        </w:rPr>
      </w:pPr>
    </w:p>
    <w:p w14:paraId="5E538070" w14:textId="43DDE68C"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Office of State Procurement</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t xml:space="preserve">Email: </w:t>
      </w:r>
      <w:r w:rsidR="004C3131" w:rsidRPr="00B03DDB">
        <w:rPr>
          <w:rFonts w:ascii="Aptos" w:eastAsia="Times New Roman" w:hAnsi="Aptos" w:cs="Times New Roman"/>
          <w:sz w:val="24"/>
          <w:szCs w:val="24"/>
          <w:u w:val="single"/>
        </w:rPr>
        <w:t>Blanche.Rinaudo@la.gov</w:t>
      </w:r>
    </w:p>
    <w:p w14:paraId="4473424C" w14:textId="2B855BA5"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 xml:space="preserve">Attention: </w:t>
      </w:r>
      <w:r w:rsidR="004C3131">
        <w:rPr>
          <w:rFonts w:ascii="Aptos" w:eastAsia="Times New Roman" w:hAnsi="Aptos" w:cs="Times New Roman"/>
          <w:sz w:val="24"/>
          <w:szCs w:val="24"/>
        </w:rPr>
        <w:t>Blanche Rinaudo</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t xml:space="preserve">Phone: </w:t>
      </w:r>
      <w:r w:rsidR="004C3131">
        <w:rPr>
          <w:rFonts w:ascii="Aptos" w:eastAsia="Times New Roman" w:hAnsi="Aptos" w:cs="Times New Roman"/>
          <w:sz w:val="24"/>
          <w:szCs w:val="24"/>
        </w:rPr>
        <w:t>(225)342-5525</w:t>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r w:rsidRPr="0045197F">
        <w:rPr>
          <w:rFonts w:ascii="Aptos" w:eastAsia="Times New Roman" w:hAnsi="Aptos" w:cs="Times New Roman"/>
          <w:sz w:val="24"/>
          <w:szCs w:val="24"/>
        </w:rPr>
        <w:tab/>
      </w:r>
    </w:p>
    <w:p w14:paraId="14C32FE2" w14:textId="77777777" w:rsidR="0045197F" w:rsidRP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1201 North Third St., Suite 2-160</w:t>
      </w:r>
    </w:p>
    <w:p w14:paraId="1F10B583" w14:textId="77777777" w:rsidR="0045197F" w:rsidRDefault="0045197F" w:rsidP="005C18CF">
      <w:pPr>
        <w:widowControl/>
        <w:spacing w:after="0" w:line="240" w:lineRule="auto"/>
        <w:ind w:left="720"/>
        <w:contextualSpacing/>
        <w:rPr>
          <w:rFonts w:ascii="Aptos" w:eastAsia="Times New Roman" w:hAnsi="Aptos" w:cs="Times New Roman"/>
          <w:sz w:val="24"/>
          <w:szCs w:val="24"/>
        </w:rPr>
      </w:pPr>
      <w:r w:rsidRPr="0045197F">
        <w:rPr>
          <w:rFonts w:ascii="Aptos" w:eastAsia="Times New Roman" w:hAnsi="Aptos" w:cs="Times New Roman"/>
          <w:sz w:val="24"/>
          <w:szCs w:val="24"/>
        </w:rPr>
        <w:t>Baton Rouge, LA 70802</w:t>
      </w:r>
    </w:p>
    <w:p w14:paraId="3A37CD1E" w14:textId="77777777" w:rsidR="00234653" w:rsidRDefault="00234653" w:rsidP="0045197F">
      <w:pPr>
        <w:widowControl/>
        <w:spacing w:after="0" w:line="240" w:lineRule="auto"/>
        <w:ind w:left="576"/>
        <w:contextualSpacing/>
        <w:rPr>
          <w:rFonts w:ascii="Aptos" w:eastAsia="Times New Roman" w:hAnsi="Aptos" w:cs="Times New Roman"/>
          <w:sz w:val="24"/>
          <w:szCs w:val="24"/>
        </w:rPr>
      </w:pPr>
    </w:p>
    <w:p w14:paraId="4711B563" w14:textId="5001395D" w:rsidR="00234653" w:rsidRPr="00234653" w:rsidRDefault="00234653" w:rsidP="00234653">
      <w:pPr>
        <w:pStyle w:val="Style1"/>
        <w:numPr>
          <w:ilvl w:val="0"/>
          <w:numId w:val="0"/>
        </w:numPr>
        <w:ind w:left="180"/>
        <w:rPr>
          <w:rFonts w:eastAsia="Times New Roman"/>
        </w:rPr>
      </w:pPr>
      <w:r w:rsidRPr="00234653">
        <w:rPr>
          <w:rFonts w:ascii="Aptos" w:eastAsia="Times New Roman" w:hAnsi="Aptos"/>
        </w:rPr>
        <w:t>17.</w:t>
      </w:r>
      <w:r>
        <w:rPr>
          <w:rFonts w:eastAsia="Times New Roman"/>
        </w:rPr>
        <w:t xml:space="preserve"> </w:t>
      </w:r>
      <w:r w:rsidRPr="00944880">
        <w:rPr>
          <w:rFonts w:ascii="Aptos" w:eastAsia="Times New Roman" w:hAnsi="Aptos"/>
          <w:bCs/>
        </w:rPr>
        <w:t>Calendar of Events:</w:t>
      </w:r>
    </w:p>
    <w:p w14:paraId="0D68815E" w14:textId="7BB75BA9"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Deadline to receive written inquiries: </w:t>
      </w:r>
      <w:r w:rsidR="000502F8">
        <w:rPr>
          <w:rFonts w:ascii="Aptos" w:eastAsia="Times New Roman" w:hAnsi="Aptos" w:cs="Times New Roman"/>
          <w:sz w:val="24"/>
          <w:szCs w:val="24"/>
          <w:u w:val="single"/>
        </w:rPr>
        <w:t>Tues</w:t>
      </w:r>
      <w:r w:rsidRPr="00234653">
        <w:rPr>
          <w:rFonts w:ascii="Aptos" w:eastAsia="Times New Roman" w:hAnsi="Aptos" w:cs="Times New Roman"/>
          <w:sz w:val="24"/>
          <w:szCs w:val="24"/>
          <w:u w:val="single"/>
        </w:rPr>
        <w:t xml:space="preserve">day, </w:t>
      </w:r>
      <w:r w:rsidR="00411795">
        <w:rPr>
          <w:rFonts w:ascii="Aptos" w:eastAsia="Times New Roman" w:hAnsi="Aptos" w:cs="Times New Roman"/>
          <w:sz w:val="24"/>
          <w:szCs w:val="24"/>
          <w:u w:val="single"/>
        </w:rPr>
        <w:t>May</w:t>
      </w:r>
      <w:r w:rsidRPr="00234653">
        <w:rPr>
          <w:rFonts w:ascii="Aptos" w:eastAsia="Times New Roman" w:hAnsi="Aptos" w:cs="Times New Roman"/>
          <w:sz w:val="24"/>
          <w:szCs w:val="24"/>
          <w:u w:val="single"/>
        </w:rPr>
        <w:t xml:space="preserve"> </w:t>
      </w:r>
      <w:r w:rsidR="00944880">
        <w:rPr>
          <w:rFonts w:ascii="Aptos" w:eastAsia="Times New Roman" w:hAnsi="Aptos" w:cs="Times New Roman"/>
          <w:sz w:val="24"/>
          <w:szCs w:val="24"/>
          <w:u w:val="single"/>
        </w:rPr>
        <w:t>1</w:t>
      </w:r>
      <w:r w:rsidR="000502F8">
        <w:rPr>
          <w:rFonts w:ascii="Aptos" w:eastAsia="Times New Roman" w:hAnsi="Aptos" w:cs="Times New Roman"/>
          <w:sz w:val="24"/>
          <w:szCs w:val="24"/>
          <w:u w:val="single"/>
        </w:rPr>
        <w:t>2</w:t>
      </w:r>
      <w:r w:rsidRPr="00234653">
        <w:rPr>
          <w:rFonts w:ascii="Aptos" w:eastAsia="Times New Roman" w:hAnsi="Aptos" w:cs="Times New Roman"/>
          <w:sz w:val="24"/>
          <w:szCs w:val="24"/>
          <w:u w:val="single"/>
        </w:rPr>
        <w:t>, 202</w:t>
      </w:r>
      <w:r w:rsidR="00411795">
        <w:rPr>
          <w:rFonts w:ascii="Aptos" w:eastAsia="Times New Roman" w:hAnsi="Aptos" w:cs="Times New Roman"/>
          <w:sz w:val="24"/>
          <w:szCs w:val="24"/>
          <w:u w:val="single"/>
        </w:rPr>
        <w:t>6</w:t>
      </w:r>
    </w:p>
    <w:p w14:paraId="7D37B24F" w14:textId="46D07F25"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Deadline to answer written inquiries: </w:t>
      </w:r>
      <w:r w:rsidR="000502F8">
        <w:rPr>
          <w:rFonts w:ascii="Aptos" w:eastAsia="Times New Roman" w:hAnsi="Aptos" w:cs="Times New Roman"/>
          <w:sz w:val="24"/>
          <w:szCs w:val="24"/>
          <w:u w:val="single"/>
        </w:rPr>
        <w:t>Tu</w:t>
      </w:r>
      <w:r w:rsidRPr="00234653">
        <w:rPr>
          <w:rFonts w:ascii="Aptos" w:eastAsia="Times New Roman" w:hAnsi="Aptos" w:cs="Times New Roman"/>
          <w:sz w:val="24"/>
          <w:szCs w:val="24"/>
          <w:u w:val="single"/>
        </w:rPr>
        <w:t xml:space="preserve">esday, </w:t>
      </w:r>
      <w:r w:rsidR="00411795">
        <w:rPr>
          <w:rFonts w:ascii="Aptos" w:eastAsia="Times New Roman" w:hAnsi="Aptos" w:cs="Times New Roman"/>
          <w:sz w:val="24"/>
          <w:szCs w:val="24"/>
          <w:u w:val="single"/>
        </w:rPr>
        <w:t>May</w:t>
      </w:r>
      <w:r w:rsidRPr="00234653">
        <w:rPr>
          <w:rFonts w:ascii="Aptos" w:eastAsia="Times New Roman" w:hAnsi="Aptos" w:cs="Times New Roman"/>
          <w:sz w:val="24"/>
          <w:szCs w:val="24"/>
          <w:u w:val="single"/>
        </w:rPr>
        <w:t xml:space="preserve"> 1</w:t>
      </w:r>
      <w:r w:rsidR="000502F8">
        <w:rPr>
          <w:rFonts w:ascii="Aptos" w:eastAsia="Times New Roman" w:hAnsi="Aptos" w:cs="Times New Roman"/>
          <w:sz w:val="24"/>
          <w:szCs w:val="24"/>
          <w:u w:val="single"/>
        </w:rPr>
        <w:t>9</w:t>
      </w:r>
      <w:r w:rsidRPr="00234653">
        <w:rPr>
          <w:rFonts w:ascii="Aptos" w:eastAsia="Times New Roman" w:hAnsi="Aptos" w:cs="Times New Roman"/>
          <w:sz w:val="24"/>
          <w:szCs w:val="24"/>
          <w:u w:val="single"/>
        </w:rPr>
        <w:t>, 202</w:t>
      </w:r>
      <w:r w:rsidR="00411795">
        <w:rPr>
          <w:rFonts w:ascii="Aptos" w:eastAsia="Times New Roman" w:hAnsi="Aptos" w:cs="Times New Roman"/>
          <w:sz w:val="24"/>
          <w:szCs w:val="24"/>
          <w:u w:val="single"/>
        </w:rPr>
        <w:t>6</w:t>
      </w:r>
    </w:p>
    <w:p w14:paraId="5CC0859F" w14:textId="7CD157EA"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Bid Opening Date and Time: </w:t>
      </w:r>
      <w:r w:rsidRPr="00234653">
        <w:rPr>
          <w:rFonts w:ascii="Aptos" w:eastAsia="Times New Roman" w:hAnsi="Aptos" w:cs="Times New Roman"/>
          <w:sz w:val="24"/>
          <w:szCs w:val="24"/>
          <w:u w:val="single"/>
        </w:rPr>
        <w:t xml:space="preserve">Wednesday, </w:t>
      </w:r>
      <w:r w:rsidR="00411795">
        <w:rPr>
          <w:rFonts w:ascii="Aptos" w:eastAsia="Times New Roman" w:hAnsi="Aptos" w:cs="Times New Roman"/>
          <w:sz w:val="24"/>
          <w:szCs w:val="24"/>
          <w:u w:val="single"/>
        </w:rPr>
        <w:t>May</w:t>
      </w:r>
      <w:r w:rsidRPr="00234653">
        <w:rPr>
          <w:rFonts w:ascii="Aptos" w:eastAsia="Times New Roman" w:hAnsi="Aptos" w:cs="Times New Roman"/>
          <w:sz w:val="24"/>
          <w:szCs w:val="24"/>
          <w:u w:val="single"/>
        </w:rPr>
        <w:t xml:space="preserve"> </w:t>
      </w:r>
      <w:r w:rsidR="00411795">
        <w:rPr>
          <w:rFonts w:ascii="Aptos" w:eastAsia="Times New Roman" w:hAnsi="Aptos" w:cs="Times New Roman"/>
          <w:sz w:val="24"/>
          <w:szCs w:val="24"/>
          <w:u w:val="single"/>
        </w:rPr>
        <w:t>2</w:t>
      </w:r>
      <w:r w:rsidR="00944880">
        <w:rPr>
          <w:rFonts w:ascii="Aptos" w:eastAsia="Times New Roman" w:hAnsi="Aptos" w:cs="Times New Roman"/>
          <w:sz w:val="24"/>
          <w:szCs w:val="24"/>
          <w:u w:val="single"/>
        </w:rPr>
        <w:t>7</w:t>
      </w:r>
      <w:r w:rsidRPr="00234653">
        <w:rPr>
          <w:rFonts w:ascii="Aptos" w:eastAsia="Times New Roman" w:hAnsi="Aptos" w:cs="Times New Roman"/>
          <w:sz w:val="24"/>
          <w:szCs w:val="24"/>
          <w:u w:val="single"/>
        </w:rPr>
        <w:t>, 202</w:t>
      </w:r>
      <w:r w:rsidR="00411795">
        <w:rPr>
          <w:rFonts w:ascii="Aptos" w:eastAsia="Times New Roman" w:hAnsi="Aptos" w:cs="Times New Roman"/>
          <w:sz w:val="24"/>
          <w:szCs w:val="24"/>
          <w:u w:val="single"/>
        </w:rPr>
        <w:t>6</w:t>
      </w:r>
      <w:r w:rsidRPr="00234653">
        <w:rPr>
          <w:rFonts w:ascii="Aptos" w:eastAsia="Times New Roman" w:hAnsi="Aptos" w:cs="Times New Roman"/>
          <w:sz w:val="24"/>
          <w:szCs w:val="24"/>
          <w:u w:val="single"/>
        </w:rPr>
        <w:t>, 10:00 AM CT</w:t>
      </w:r>
    </w:p>
    <w:p w14:paraId="60D30797" w14:textId="77777777" w:rsidR="00234653" w:rsidRPr="00234653" w:rsidRDefault="00234653" w:rsidP="00234653">
      <w:pPr>
        <w:widowControl/>
        <w:spacing w:after="0" w:line="240" w:lineRule="auto"/>
        <w:ind w:left="576"/>
        <w:contextualSpacing/>
        <w:rPr>
          <w:rFonts w:ascii="Aptos" w:eastAsia="Times New Roman" w:hAnsi="Aptos" w:cs="Times New Roman"/>
          <w:b/>
          <w:sz w:val="24"/>
          <w:szCs w:val="24"/>
        </w:rPr>
      </w:pPr>
      <w:r w:rsidRPr="00234653">
        <w:rPr>
          <w:rFonts w:ascii="Aptos" w:eastAsia="Times New Roman" w:hAnsi="Aptos" w:cs="Times New Roman"/>
          <w:b/>
          <w:sz w:val="24"/>
          <w:szCs w:val="24"/>
        </w:rPr>
        <w:t xml:space="preserve"> </w:t>
      </w:r>
    </w:p>
    <w:p w14:paraId="1AD71C1A"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Note: The State of Louisiana reserves the right to revise this calendar.  Revisions before the bid opening date and time, if any, will be formalized by the issuance of an addendum to this ITB.</w:t>
      </w:r>
    </w:p>
    <w:p w14:paraId="495DC8AB"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2DE81CF1" w14:textId="15C7E513" w:rsidR="00234653" w:rsidRPr="00234653" w:rsidRDefault="00234653" w:rsidP="00234653">
      <w:pPr>
        <w:widowControl/>
        <w:spacing w:after="0" w:line="240" w:lineRule="auto"/>
        <w:ind w:left="180"/>
        <w:contextualSpacing/>
        <w:rPr>
          <w:rFonts w:ascii="Aptos" w:eastAsia="Times New Roman" w:hAnsi="Aptos" w:cs="Times New Roman"/>
          <w:b/>
          <w:sz w:val="24"/>
          <w:szCs w:val="24"/>
        </w:rPr>
      </w:pPr>
      <w:r>
        <w:rPr>
          <w:rFonts w:ascii="Aptos" w:eastAsia="Times New Roman" w:hAnsi="Aptos" w:cs="Times New Roman"/>
          <w:b/>
          <w:bCs/>
          <w:sz w:val="24"/>
          <w:szCs w:val="24"/>
        </w:rPr>
        <w:t xml:space="preserve">18. </w:t>
      </w:r>
      <w:r w:rsidRPr="00234653">
        <w:rPr>
          <w:rFonts w:ascii="Aptos" w:eastAsia="Times New Roman" w:hAnsi="Aptos" w:cs="Times New Roman"/>
          <w:b/>
          <w:sz w:val="24"/>
          <w:szCs w:val="24"/>
        </w:rPr>
        <w:t>Bidder Inquires:</w:t>
      </w:r>
    </w:p>
    <w:p w14:paraId="3CAB14B4"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0A461E5A"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3F0717D2"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An inquiry period is hereby firmly set for all interested bidders to perform a detailed review of the ITB documents and to submit any written </w:t>
      </w:r>
      <w:proofErr w:type="gramStart"/>
      <w:r w:rsidRPr="00234653">
        <w:rPr>
          <w:rFonts w:ascii="Aptos" w:eastAsia="Times New Roman" w:hAnsi="Aptos" w:cs="Times New Roman"/>
          <w:sz w:val="24"/>
          <w:szCs w:val="24"/>
        </w:rPr>
        <w:t>inquires relative thereto</w:t>
      </w:r>
      <w:proofErr w:type="gramEnd"/>
      <w:r w:rsidRPr="00234653">
        <w:rPr>
          <w:rFonts w:ascii="Aptos" w:eastAsia="Times New Roman" w:hAnsi="Aptos" w:cs="Times New Roman"/>
          <w:sz w:val="24"/>
          <w:szCs w:val="24"/>
        </w:rPr>
        <w:t xml:space="preserve">.  </w:t>
      </w:r>
      <w:r w:rsidRPr="00234653">
        <w:rPr>
          <w:rFonts w:ascii="Aptos" w:eastAsia="Times New Roman" w:hAnsi="Aptos" w:cs="Times New Roman"/>
          <w:i/>
          <w:sz w:val="24"/>
          <w:szCs w:val="24"/>
        </w:rPr>
        <w:t>Without exception</w:t>
      </w:r>
      <w:r w:rsidRPr="00234653">
        <w:rPr>
          <w:rFonts w:ascii="Aptos" w:eastAsia="Times New Roman" w:hAnsi="Aptos" w:cs="Times New Roman"/>
          <w:sz w:val="24"/>
          <w:szCs w:val="24"/>
        </w:rPr>
        <w:t>, all inquiries MUST be submitted in writing by an authorized representative of the bidder, clearly cross-referenced to the relevant ITB section.  All inquiries must be received by 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0E29A4D0"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6EA48B03"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Inquiries concerning this ITB shall be delivered to the State’s contact person for this ITB, SPA name</w:t>
      </w:r>
      <w:r w:rsidRPr="00234653">
        <w:rPr>
          <w:rFonts w:ascii="Aptos" w:eastAsia="Times New Roman" w:hAnsi="Aptos" w:cs="Times New Roman"/>
          <w:i/>
          <w:sz w:val="24"/>
          <w:szCs w:val="24"/>
        </w:rPr>
        <w:t xml:space="preserve">, </w:t>
      </w:r>
      <w:r w:rsidRPr="00234653">
        <w:rPr>
          <w:rFonts w:ascii="Aptos" w:eastAsia="Times New Roman" w:hAnsi="Aptos" w:cs="Times New Roman"/>
          <w:sz w:val="24"/>
          <w:szCs w:val="24"/>
        </w:rPr>
        <w:t>by mail, express courier, e-mail, hand, or fax to:</w:t>
      </w:r>
    </w:p>
    <w:p w14:paraId="3975EEE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7C5B9EE2"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Office of State Procurement</w:t>
      </w:r>
    </w:p>
    <w:p w14:paraId="61EB4B6C" w14:textId="157ADB73"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Attention</w:t>
      </w:r>
      <w:proofErr w:type="gramStart"/>
      <w:r w:rsidRPr="00234653">
        <w:rPr>
          <w:rFonts w:ascii="Aptos" w:eastAsia="Times New Roman" w:hAnsi="Aptos" w:cs="Times New Roman"/>
          <w:sz w:val="24"/>
          <w:szCs w:val="24"/>
        </w:rPr>
        <w:t xml:space="preserve">:  </w:t>
      </w:r>
      <w:r w:rsidR="00411795">
        <w:rPr>
          <w:rFonts w:ascii="Aptos" w:eastAsia="Times New Roman" w:hAnsi="Aptos" w:cs="Times New Roman"/>
          <w:sz w:val="24"/>
          <w:szCs w:val="24"/>
        </w:rPr>
        <w:t>Blanche</w:t>
      </w:r>
      <w:proofErr w:type="gramEnd"/>
      <w:r w:rsidR="00411795">
        <w:rPr>
          <w:rFonts w:ascii="Aptos" w:eastAsia="Times New Roman" w:hAnsi="Aptos" w:cs="Times New Roman"/>
          <w:sz w:val="24"/>
          <w:szCs w:val="24"/>
        </w:rPr>
        <w:t xml:space="preserve"> Rinaudo</w:t>
      </w:r>
    </w:p>
    <w:p w14:paraId="1AB949E0"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1201 North Third Street</w:t>
      </w:r>
    </w:p>
    <w:p w14:paraId="5153CF78"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Claiborne Building, Suite 2-160</w:t>
      </w:r>
    </w:p>
    <w:p w14:paraId="174B182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Baton Rouge, LA  70802</w:t>
      </w:r>
    </w:p>
    <w:p w14:paraId="36EB00D7"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r>
    </w:p>
    <w:p w14:paraId="708BFC10" w14:textId="7D3F2BF9"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 xml:space="preserve">E-mail:  </w:t>
      </w:r>
      <w:r w:rsidR="00411795" w:rsidRPr="00944880">
        <w:rPr>
          <w:rFonts w:ascii="Aptos" w:eastAsia="Times New Roman" w:hAnsi="Aptos" w:cs="Times New Roman"/>
          <w:sz w:val="24"/>
          <w:szCs w:val="24"/>
          <w:u w:val="single"/>
        </w:rPr>
        <w:t>Blanche.Rinaudo</w:t>
      </w:r>
      <w:r w:rsidRPr="00944880">
        <w:rPr>
          <w:rFonts w:ascii="Aptos" w:eastAsia="Times New Roman" w:hAnsi="Aptos" w:cs="Times New Roman"/>
          <w:sz w:val="24"/>
          <w:szCs w:val="24"/>
          <w:u w:val="single"/>
        </w:rPr>
        <w:t>@la.gov</w:t>
      </w:r>
    </w:p>
    <w:p w14:paraId="4551E859" w14:textId="174BC095"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 xml:space="preserve">Phone: (225) </w:t>
      </w:r>
      <w:r w:rsidR="00411795">
        <w:rPr>
          <w:rFonts w:ascii="Aptos" w:eastAsia="Times New Roman" w:hAnsi="Aptos" w:cs="Times New Roman"/>
          <w:sz w:val="24"/>
          <w:szCs w:val="24"/>
        </w:rPr>
        <w:t>342-5525</w:t>
      </w:r>
    </w:p>
    <w:p w14:paraId="724B85F5"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Fax: (225) 342-9756</w:t>
      </w:r>
    </w:p>
    <w:p w14:paraId="565EE9D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123E7F75"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Only the person identified </w:t>
      </w:r>
      <w:proofErr w:type="gramStart"/>
      <w:r w:rsidRPr="00234653">
        <w:rPr>
          <w:rFonts w:ascii="Aptos" w:eastAsia="Times New Roman" w:hAnsi="Aptos" w:cs="Times New Roman"/>
          <w:sz w:val="24"/>
          <w:szCs w:val="24"/>
        </w:rPr>
        <w:t>above</w:t>
      </w:r>
      <w:proofErr w:type="gramEnd"/>
      <w:r w:rsidRPr="00234653">
        <w:rPr>
          <w:rFonts w:ascii="Aptos" w:eastAsia="Times New Roman" w:hAnsi="Aptos" w:cs="Times New Roman"/>
          <w:sz w:val="24"/>
          <w:szCs w:val="24"/>
        </w:rPr>
        <w:t xml:space="preserve"> or their designee has the authority to officially respond to bidder’s questions on behalf of the State.  Any communications from any other individuals are not binding to the State.</w:t>
      </w:r>
    </w:p>
    <w:p w14:paraId="02AC5984"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28F2BE4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An addendum will be issued and posted at the Office of State Procurement’s </w:t>
      </w:r>
      <w:proofErr w:type="spellStart"/>
      <w:r w:rsidRPr="00234653">
        <w:rPr>
          <w:rFonts w:ascii="Aptos" w:eastAsia="Times New Roman" w:hAnsi="Aptos" w:cs="Times New Roman"/>
          <w:sz w:val="24"/>
          <w:szCs w:val="24"/>
        </w:rPr>
        <w:t>LaPAC</w:t>
      </w:r>
      <w:proofErr w:type="spellEnd"/>
      <w:r w:rsidRPr="00234653">
        <w:rPr>
          <w:rFonts w:ascii="Aptos" w:eastAsia="Times New Roman" w:hAnsi="Aptos" w:cs="Times New Roman"/>
          <w:sz w:val="24"/>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234653">
        <w:rPr>
          <w:rFonts w:ascii="Aptos" w:eastAsia="Times New Roman" w:hAnsi="Aptos" w:cs="Times New Roman"/>
          <w:sz w:val="24"/>
          <w:szCs w:val="24"/>
        </w:rPr>
        <w:t>as a result of</w:t>
      </w:r>
      <w:proofErr w:type="gramEnd"/>
      <w:r w:rsidRPr="00234653">
        <w:rPr>
          <w:rFonts w:ascii="Aptos" w:eastAsia="Times New Roman" w:hAnsi="Aptos" w:cs="Times New Roman"/>
          <w:sz w:val="24"/>
          <w:szCs w:val="24"/>
        </w:rPr>
        <w:t xml:space="preserve"> any oral discussions with any State employee, or State consultant.  It is the bidder’s responsibility to check the </w:t>
      </w:r>
      <w:proofErr w:type="spellStart"/>
      <w:r w:rsidRPr="00234653">
        <w:rPr>
          <w:rFonts w:ascii="Aptos" w:eastAsia="Times New Roman" w:hAnsi="Aptos" w:cs="Times New Roman"/>
          <w:sz w:val="24"/>
          <w:szCs w:val="24"/>
        </w:rPr>
        <w:t>LaPAC</w:t>
      </w:r>
      <w:proofErr w:type="spellEnd"/>
      <w:r w:rsidRPr="00234653">
        <w:rPr>
          <w:rFonts w:ascii="Aptos" w:eastAsia="Times New Roman" w:hAnsi="Aptos" w:cs="Times New Roman"/>
          <w:sz w:val="24"/>
          <w:szCs w:val="24"/>
        </w:rPr>
        <w:t xml:space="preserve"> website frequently for any possible addenda that may be issued.  The Office of State Procurement is not responsible for a bidder’s failure to download any addenda documents required to complete an ITB.</w:t>
      </w:r>
    </w:p>
    <w:p w14:paraId="037B3CF0"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29DD66B5"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*Note:  </w:t>
      </w:r>
      <w:proofErr w:type="spellStart"/>
      <w:r w:rsidRPr="00234653">
        <w:rPr>
          <w:rFonts w:ascii="Aptos" w:eastAsia="Times New Roman" w:hAnsi="Aptos" w:cs="Times New Roman"/>
          <w:sz w:val="24"/>
          <w:szCs w:val="24"/>
        </w:rPr>
        <w:t>LaPAC’s</w:t>
      </w:r>
      <w:proofErr w:type="spellEnd"/>
      <w:r w:rsidRPr="00234653">
        <w:rPr>
          <w:rFonts w:ascii="Aptos" w:eastAsia="Times New Roman" w:hAnsi="Aptos" w:cs="Times New Roman"/>
          <w:sz w:val="24"/>
          <w:szCs w:val="24"/>
        </w:rPr>
        <w:t xml:space="preserve"> is the State’s online electronic bid posting and notification system resident on the Office of State Procurement’s website: </w:t>
      </w:r>
      <w:hyperlink r:id="rId11" w:history="1">
        <w:r w:rsidRPr="00234653">
          <w:rPr>
            <w:rStyle w:val="Hyperlink"/>
            <w:rFonts w:ascii="Aptos" w:eastAsia="Times New Roman" w:hAnsi="Aptos" w:cs="Times New Roman"/>
            <w:sz w:val="24"/>
            <w:szCs w:val="24"/>
          </w:rPr>
          <w:t>https://www.doa.la.gov/doa/osp/</w:t>
        </w:r>
      </w:hyperlink>
      <w:r w:rsidRPr="00234653">
        <w:rPr>
          <w:rFonts w:ascii="Aptos" w:eastAsia="Times New Roman" w:hAnsi="Aptos" w:cs="Times New Roman"/>
          <w:sz w:val="24"/>
          <w:szCs w:val="24"/>
        </w:rPr>
        <w:t xml:space="preserve">.  In that </w:t>
      </w:r>
      <w:proofErr w:type="spellStart"/>
      <w:r w:rsidRPr="00234653">
        <w:rPr>
          <w:rFonts w:ascii="Aptos" w:eastAsia="Times New Roman" w:hAnsi="Aptos" w:cs="Times New Roman"/>
          <w:sz w:val="24"/>
          <w:szCs w:val="24"/>
        </w:rPr>
        <w:t>LaPAC</w:t>
      </w:r>
      <w:proofErr w:type="spellEnd"/>
      <w:r w:rsidRPr="00234653">
        <w:rPr>
          <w:rFonts w:ascii="Aptos" w:eastAsia="Times New Roman" w:hAnsi="Aptos" w:cs="Times New Roman"/>
          <w:sz w:val="24"/>
          <w:szCs w:val="24"/>
        </w:rPr>
        <w:t xml:space="preserve"> provides an immediate e-mail notification to </w:t>
      </w:r>
      <w:proofErr w:type="gramStart"/>
      <w:r w:rsidRPr="00234653">
        <w:rPr>
          <w:rFonts w:ascii="Aptos" w:eastAsia="Times New Roman" w:hAnsi="Aptos" w:cs="Times New Roman"/>
          <w:sz w:val="24"/>
          <w:szCs w:val="24"/>
        </w:rPr>
        <w:t>subscribing</w:t>
      </w:r>
      <w:proofErr w:type="gramEnd"/>
      <w:r w:rsidRPr="00234653">
        <w:rPr>
          <w:rFonts w:ascii="Aptos" w:eastAsia="Times New Roman" w:hAnsi="Aptos" w:cs="Times New Roman"/>
          <w:sz w:val="24"/>
          <w:szCs w:val="24"/>
        </w:rPr>
        <w:t xml:space="preserve"> bidders that a solicitation and any subsequent addenda have been let and posted, notice and receipt thereof is considered formally given as of their respective dates of posting.</w:t>
      </w:r>
    </w:p>
    <w:p w14:paraId="2DB9E4FA"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4F921FA3"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To receive the e-mail notification, Vendors must register in the </w:t>
      </w:r>
      <w:proofErr w:type="spellStart"/>
      <w:r w:rsidRPr="00234653">
        <w:rPr>
          <w:rFonts w:ascii="Aptos" w:eastAsia="Times New Roman" w:hAnsi="Aptos" w:cs="Times New Roman"/>
          <w:sz w:val="24"/>
          <w:szCs w:val="24"/>
        </w:rPr>
        <w:t>LaGov</w:t>
      </w:r>
      <w:proofErr w:type="spellEnd"/>
      <w:r w:rsidRPr="00234653">
        <w:rPr>
          <w:rFonts w:ascii="Aptos" w:eastAsia="Times New Roman" w:hAnsi="Aptos" w:cs="Times New Roman"/>
          <w:sz w:val="24"/>
          <w:szCs w:val="24"/>
        </w:rPr>
        <w:t xml:space="preserve"> portal.  Registration is intuitive at the following link:  </w:t>
      </w:r>
      <w:hyperlink r:id="rId12" w:history="1">
        <w:r w:rsidRPr="00234653">
          <w:rPr>
            <w:rStyle w:val="Hyperlink"/>
            <w:rFonts w:ascii="Aptos" w:eastAsia="Times New Roman" w:hAnsi="Aptos" w:cs="Times New Roman"/>
            <w:sz w:val="24"/>
            <w:szCs w:val="24"/>
          </w:rPr>
          <w:t>https://lagoverpvendor.doa.louisiana.gov/irj/portal/anonymous?guest_user=self_reg</w:t>
        </w:r>
      </w:hyperlink>
      <w:r w:rsidRPr="00234653">
        <w:rPr>
          <w:rFonts w:ascii="Aptos" w:eastAsia="Times New Roman" w:hAnsi="Aptos" w:cs="Times New Roman"/>
          <w:sz w:val="24"/>
          <w:szCs w:val="24"/>
        </w:rPr>
        <w:t>.</w:t>
      </w:r>
    </w:p>
    <w:p w14:paraId="33D4A1BB"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7F4D63E3"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Help scripts are available on OSP website under Vendor Resources at:</w:t>
      </w:r>
    </w:p>
    <w:p w14:paraId="5C02F01C" w14:textId="0F3D55BA" w:rsidR="00234653" w:rsidRPr="0045197F" w:rsidRDefault="00234653" w:rsidP="00234653">
      <w:pPr>
        <w:widowControl/>
        <w:spacing w:after="0" w:line="240" w:lineRule="auto"/>
        <w:ind w:left="576"/>
        <w:contextualSpacing/>
        <w:rPr>
          <w:rFonts w:ascii="Aptos" w:eastAsia="Times New Roman" w:hAnsi="Aptos" w:cs="Times New Roman"/>
          <w:sz w:val="24"/>
          <w:szCs w:val="24"/>
        </w:rPr>
      </w:pPr>
      <w:hyperlink r:id="rId13" w:history="1">
        <w:r w:rsidRPr="00234653">
          <w:rPr>
            <w:rStyle w:val="Hyperlink"/>
            <w:rFonts w:ascii="Aptos" w:eastAsia="Times New Roman" w:hAnsi="Aptos" w:cs="Times New Roman"/>
            <w:sz w:val="24"/>
            <w:szCs w:val="24"/>
          </w:rPr>
          <w:t>https://www.doa.la.gov/doa/osp/vendor-resources/</w:t>
        </w:r>
      </w:hyperlink>
      <w:r w:rsidRPr="00234653">
        <w:rPr>
          <w:rFonts w:ascii="Aptos" w:eastAsia="Times New Roman" w:hAnsi="Aptos" w:cs="Times New Roman"/>
          <w:sz w:val="24"/>
          <w:szCs w:val="24"/>
        </w:rPr>
        <w:t xml:space="preserve">. </w:t>
      </w:r>
    </w:p>
    <w:p w14:paraId="74F30D93" w14:textId="77777777" w:rsidR="00FB64C9" w:rsidRPr="007B0C40" w:rsidRDefault="00FB64C9" w:rsidP="0045197F">
      <w:pPr>
        <w:widowControl/>
        <w:spacing w:after="0" w:line="240" w:lineRule="auto"/>
        <w:contextualSpacing/>
        <w:rPr>
          <w:rFonts w:ascii="Aptos" w:eastAsia="Times New Roman" w:hAnsi="Aptos" w:cs="Times New Roman"/>
          <w:sz w:val="24"/>
          <w:szCs w:val="24"/>
        </w:rPr>
      </w:pPr>
    </w:p>
    <w:p w14:paraId="2B5CAF86" w14:textId="136D912F" w:rsidR="00FB64C9" w:rsidRPr="00411795" w:rsidRDefault="00FB64C9" w:rsidP="00411795">
      <w:pPr>
        <w:pStyle w:val="Style1"/>
        <w:numPr>
          <w:ilvl w:val="0"/>
          <w:numId w:val="49"/>
        </w:numPr>
        <w:jc w:val="left"/>
        <w:rPr>
          <w:rFonts w:ascii="Aptos" w:eastAsia="PMingLiU" w:hAnsi="Aptos"/>
          <w:lang w:eastAsia="zh-TW"/>
        </w:rPr>
      </w:pPr>
      <w:r w:rsidRPr="00411795">
        <w:rPr>
          <w:rFonts w:ascii="Aptos" w:hAnsi="Aptos"/>
        </w:rPr>
        <w:t xml:space="preserve">Insurance Requirements for Contractors:  </w:t>
      </w:r>
    </w:p>
    <w:p w14:paraId="1DC6698B"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FCBC65F"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2786124A"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5D786A50"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6F935933"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02D1E71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99A8CF5"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491E70AB"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FD51C8D"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DB50B31"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57B129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D85291D"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1886F37C"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0C37AD7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4F07A59F"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3699F59"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6130A53"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137FE8B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D0EC6A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AE72A1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01477EA5"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2ED226D5"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F287745"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5E7478C1"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35496ED0"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D2CEE36"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FBB86DA"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8312EFC"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1E478E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4FFEDD9"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695457D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3BA2A1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77EEB36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B64CBC9"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4EAAA60"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3996DBE0"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6B7DE049"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57124E66"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74567EE3"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354EB085"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26D6A114"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12EE500A"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B8145F4"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096595EF"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935A1B5"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98952DA"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0853F6D" w14:textId="77777777" w:rsidR="005B114F" w:rsidRPr="00545C2B" w:rsidRDefault="005B114F" w:rsidP="005B114F">
      <w:pPr>
        <w:pStyle w:val="ListParagraph"/>
        <w:widowControl/>
        <w:tabs>
          <w:tab w:val="left" w:pos="360"/>
        </w:tabs>
        <w:spacing w:after="0" w:line="240" w:lineRule="auto"/>
        <w:ind w:left="2515"/>
        <w:rPr>
          <w:rFonts w:ascii="Aptos" w:eastAsia="PMingLiU" w:hAnsi="Aptos" w:cs="Times New Roman"/>
          <w:sz w:val="24"/>
          <w:szCs w:val="24"/>
          <w:lang w:eastAsia="zh-TW"/>
        </w:rPr>
      </w:pPr>
    </w:p>
    <w:p w14:paraId="4246FC49" w14:textId="38494F9E" w:rsidR="005B114F" w:rsidRPr="00545C2B" w:rsidRDefault="005B114F" w:rsidP="005B114F">
      <w:pPr>
        <w:pStyle w:val="Style1"/>
        <w:numPr>
          <w:ilvl w:val="0"/>
          <w:numId w:val="49"/>
        </w:numPr>
        <w:rPr>
          <w:rFonts w:ascii="Aptos" w:hAnsi="Aptos"/>
        </w:rPr>
      </w:pPr>
      <w:r w:rsidRPr="00545C2B">
        <w:rPr>
          <w:rFonts w:ascii="Aptos" w:hAnsi="Aptos"/>
        </w:rPr>
        <w:t>New FY Delivery:</w:t>
      </w:r>
    </w:p>
    <w:p w14:paraId="6352208F" w14:textId="12AE42D7" w:rsidR="005B114F" w:rsidRPr="005B114F" w:rsidRDefault="005B114F" w:rsidP="005B114F">
      <w:pPr>
        <w:pStyle w:val="Style1"/>
        <w:numPr>
          <w:ilvl w:val="0"/>
          <w:numId w:val="0"/>
        </w:numPr>
        <w:ind w:left="576"/>
        <w:rPr>
          <w:rFonts w:eastAsiaTheme="minorHAnsi" w:cstheme="minorBidi"/>
          <w:b w:val="0"/>
          <w:bCs/>
          <w:sz w:val="22"/>
        </w:rPr>
      </w:pPr>
      <w:r w:rsidRPr="005B114F">
        <w:rPr>
          <w:rFonts w:ascii="Aptos" w:eastAsia="PMingLiU" w:hAnsi="Aptos"/>
          <w:b w:val="0"/>
          <w:bCs/>
          <w:lang w:eastAsia="zh-TW"/>
        </w:rPr>
        <w:t>Any orders resulting from this solicitation will be paid with next fiscal year funds, if appropriated by the Legislature.  Delivery cannot be made prior to July 1, and your bid prices must be firm for acceptance and delivery accordingly.</w:t>
      </w:r>
    </w:p>
    <w:p w14:paraId="643C5494" w14:textId="77777777" w:rsidR="009A7362" w:rsidRPr="007B0C40" w:rsidRDefault="009A7362" w:rsidP="007B0C40">
      <w:pPr>
        <w:spacing w:after="0"/>
        <w:rPr>
          <w:rFonts w:ascii="Aptos" w:hAnsi="Aptos" w:cs="Times New Roman"/>
          <w:bCs/>
          <w:sz w:val="24"/>
          <w:szCs w:val="24"/>
        </w:rPr>
      </w:pPr>
    </w:p>
    <w:p w14:paraId="7985945E"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1499DBDA" w14:textId="073B0BF1"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010B8E">
        <w:rPr>
          <w:rFonts w:ascii="Aptos" w:hAnsi="Aptos" w:cs="Times New Roman"/>
          <w:sz w:val="24"/>
          <w:szCs w:val="24"/>
        </w:rPr>
        <w:t>Blanche Rinaudo</w:t>
      </w:r>
      <w:r w:rsidRPr="007B0C40">
        <w:rPr>
          <w:rFonts w:ascii="Aptos" w:hAnsi="Aptos" w:cs="Times New Roman"/>
          <w:sz w:val="24"/>
          <w:szCs w:val="24"/>
        </w:rPr>
        <w:t>, phone: 225-342-</w:t>
      </w:r>
      <w:r w:rsidR="00010B8E">
        <w:rPr>
          <w:rFonts w:ascii="Aptos" w:hAnsi="Aptos" w:cs="Times New Roman"/>
          <w:sz w:val="24"/>
          <w:szCs w:val="24"/>
        </w:rPr>
        <w:t>5525</w:t>
      </w:r>
      <w:r w:rsidRPr="007B0C40">
        <w:rPr>
          <w:rFonts w:ascii="Aptos" w:hAnsi="Aptos" w:cs="Times New Roman"/>
          <w:sz w:val="24"/>
          <w:szCs w:val="24"/>
        </w:rPr>
        <w:t xml:space="preserve">, email:  </w:t>
      </w:r>
      <w:r w:rsidR="00010B8E" w:rsidRPr="00B03DDB">
        <w:rPr>
          <w:rFonts w:ascii="Aptos" w:hAnsi="Aptos" w:cs="Times New Roman"/>
          <w:sz w:val="24"/>
          <w:szCs w:val="24"/>
          <w:u w:val="single"/>
        </w:rPr>
        <w:t>Blanche.Rinaudo</w:t>
      </w:r>
      <w:r w:rsidRPr="00B03DDB">
        <w:rPr>
          <w:rFonts w:ascii="Aptos" w:hAnsi="Aptos" w:cs="Times New Roman"/>
          <w:sz w:val="24"/>
          <w:szCs w:val="24"/>
          <w:u w:val="single"/>
        </w:rPr>
        <w:t>@la.gov</w:t>
      </w:r>
    </w:p>
    <w:sectPr w:rsidR="00023A76" w:rsidRPr="007B0C40" w:rsidSect="00C3774E">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2DB8" w14:textId="77777777" w:rsidR="000C0CFF" w:rsidRDefault="000C0CFF">
      <w:pPr>
        <w:spacing w:after="0" w:line="240" w:lineRule="auto"/>
      </w:pPr>
      <w:r>
        <w:separator/>
      </w:r>
    </w:p>
  </w:endnote>
  <w:endnote w:type="continuationSeparator" w:id="0">
    <w:p w14:paraId="1F6F6DA9" w14:textId="77777777" w:rsidR="000C0CFF" w:rsidRDefault="000C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10E92DC8"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DFBE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D592"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AB80" w14:textId="77777777" w:rsidR="000C0CFF" w:rsidRDefault="000C0CFF">
      <w:pPr>
        <w:spacing w:after="0" w:line="240" w:lineRule="auto"/>
      </w:pPr>
      <w:r>
        <w:separator/>
      </w:r>
    </w:p>
  </w:footnote>
  <w:footnote w:type="continuationSeparator" w:id="0">
    <w:p w14:paraId="45A26170" w14:textId="77777777" w:rsidR="000C0CFF" w:rsidRDefault="000C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AFF6"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CE0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6515C53" w14:textId="77777777" w:rsidR="00CA73D6" w:rsidRPr="001856F5" w:rsidRDefault="00CA73D6" w:rsidP="009354EB">
    <w:pPr>
      <w:pStyle w:val="Header"/>
      <w:rPr>
        <w:rFonts w:ascii="Times New Roman" w:hAnsi="Times New Roman" w:cs="Times New Roman"/>
        <w:sz w:val="24"/>
        <w:szCs w:val="24"/>
      </w:rPr>
    </w:pPr>
  </w:p>
  <w:p w14:paraId="0A4FB31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 w:numId="48" w16cid:durableId="1824662079">
    <w:abstractNumId w:val="20"/>
    <w:lvlOverride w:ilvl="0">
      <w:startOverride w:val="17"/>
    </w:lvlOverride>
  </w:num>
  <w:num w:numId="49" w16cid:durableId="534855083">
    <w:abstractNumId w:val="20"/>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F"/>
    <w:rsid w:val="00010B8E"/>
    <w:rsid w:val="00023A76"/>
    <w:rsid w:val="00031063"/>
    <w:rsid w:val="000337DE"/>
    <w:rsid w:val="00040151"/>
    <w:rsid w:val="000453BD"/>
    <w:rsid w:val="000502F8"/>
    <w:rsid w:val="00054308"/>
    <w:rsid w:val="000569EF"/>
    <w:rsid w:val="00062E8C"/>
    <w:rsid w:val="0007126A"/>
    <w:rsid w:val="00075C57"/>
    <w:rsid w:val="0008674F"/>
    <w:rsid w:val="000938F0"/>
    <w:rsid w:val="000976C7"/>
    <w:rsid w:val="000A5589"/>
    <w:rsid w:val="000A6942"/>
    <w:rsid w:val="000A70F9"/>
    <w:rsid w:val="000B4D03"/>
    <w:rsid w:val="000B69EA"/>
    <w:rsid w:val="000C0CFF"/>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31F7"/>
    <w:rsid w:val="001856F5"/>
    <w:rsid w:val="001858C6"/>
    <w:rsid w:val="00185B5E"/>
    <w:rsid w:val="00186594"/>
    <w:rsid w:val="00193D44"/>
    <w:rsid w:val="001A54CE"/>
    <w:rsid w:val="001A688C"/>
    <w:rsid w:val="001B539A"/>
    <w:rsid w:val="001B5FA5"/>
    <w:rsid w:val="001C33EF"/>
    <w:rsid w:val="001C494C"/>
    <w:rsid w:val="001D5A1F"/>
    <w:rsid w:val="001E0177"/>
    <w:rsid w:val="001E7977"/>
    <w:rsid w:val="001F2213"/>
    <w:rsid w:val="002031CB"/>
    <w:rsid w:val="00204A6D"/>
    <w:rsid w:val="00211EBD"/>
    <w:rsid w:val="00232352"/>
    <w:rsid w:val="00234653"/>
    <w:rsid w:val="002363DB"/>
    <w:rsid w:val="00236BA6"/>
    <w:rsid w:val="00240D56"/>
    <w:rsid w:val="002411EF"/>
    <w:rsid w:val="002507F3"/>
    <w:rsid w:val="00255DA0"/>
    <w:rsid w:val="00265584"/>
    <w:rsid w:val="002678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1795"/>
    <w:rsid w:val="00415A0F"/>
    <w:rsid w:val="00416CC1"/>
    <w:rsid w:val="00427C51"/>
    <w:rsid w:val="004325E1"/>
    <w:rsid w:val="004333E4"/>
    <w:rsid w:val="004375FB"/>
    <w:rsid w:val="00437936"/>
    <w:rsid w:val="00443349"/>
    <w:rsid w:val="00444D01"/>
    <w:rsid w:val="0045197F"/>
    <w:rsid w:val="0046183B"/>
    <w:rsid w:val="00465944"/>
    <w:rsid w:val="004771CE"/>
    <w:rsid w:val="00483E2D"/>
    <w:rsid w:val="004904D7"/>
    <w:rsid w:val="004943F2"/>
    <w:rsid w:val="00496A4A"/>
    <w:rsid w:val="004A1E40"/>
    <w:rsid w:val="004A4344"/>
    <w:rsid w:val="004A5E59"/>
    <w:rsid w:val="004B2E13"/>
    <w:rsid w:val="004C0366"/>
    <w:rsid w:val="004C3131"/>
    <w:rsid w:val="004C3237"/>
    <w:rsid w:val="004C7AB2"/>
    <w:rsid w:val="004D5637"/>
    <w:rsid w:val="004E1B15"/>
    <w:rsid w:val="004E3B86"/>
    <w:rsid w:val="004F1116"/>
    <w:rsid w:val="00513C1B"/>
    <w:rsid w:val="00521F9D"/>
    <w:rsid w:val="00522169"/>
    <w:rsid w:val="00523733"/>
    <w:rsid w:val="00525147"/>
    <w:rsid w:val="00526DAB"/>
    <w:rsid w:val="005274D7"/>
    <w:rsid w:val="0053232F"/>
    <w:rsid w:val="00540D29"/>
    <w:rsid w:val="00543253"/>
    <w:rsid w:val="00545C2B"/>
    <w:rsid w:val="00552340"/>
    <w:rsid w:val="00554517"/>
    <w:rsid w:val="00564849"/>
    <w:rsid w:val="005676FA"/>
    <w:rsid w:val="005818FF"/>
    <w:rsid w:val="00585BBF"/>
    <w:rsid w:val="00595009"/>
    <w:rsid w:val="00595F6B"/>
    <w:rsid w:val="00596A2A"/>
    <w:rsid w:val="005B114F"/>
    <w:rsid w:val="005C18CF"/>
    <w:rsid w:val="005C64DD"/>
    <w:rsid w:val="005D34FB"/>
    <w:rsid w:val="005F0F0A"/>
    <w:rsid w:val="006134BF"/>
    <w:rsid w:val="00620014"/>
    <w:rsid w:val="00626CFB"/>
    <w:rsid w:val="00655CBB"/>
    <w:rsid w:val="00656A89"/>
    <w:rsid w:val="0065785C"/>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0F40"/>
    <w:rsid w:val="007A13E0"/>
    <w:rsid w:val="007A7C1D"/>
    <w:rsid w:val="007B0C40"/>
    <w:rsid w:val="007B29CA"/>
    <w:rsid w:val="007B752C"/>
    <w:rsid w:val="007C1D07"/>
    <w:rsid w:val="007C4572"/>
    <w:rsid w:val="007D2093"/>
    <w:rsid w:val="00800655"/>
    <w:rsid w:val="0081486F"/>
    <w:rsid w:val="00817492"/>
    <w:rsid w:val="00823E15"/>
    <w:rsid w:val="00830E2F"/>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44880"/>
    <w:rsid w:val="00954BF7"/>
    <w:rsid w:val="00970317"/>
    <w:rsid w:val="0097088C"/>
    <w:rsid w:val="00974551"/>
    <w:rsid w:val="009758D8"/>
    <w:rsid w:val="00983322"/>
    <w:rsid w:val="00983799"/>
    <w:rsid w:val="00993870"/>
    <w:rsid w:val="00994FBB"/>
    <w:rsid w:val="009A39F0"/>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0A1C"/>
    <w:rsid w:val="00AB1292"/>
    <w:rsid w:val="00AB1330"/>
    <w:rsid w:val="00AC013D"/>
    <w:rsid w:val="00AC57CE"/>
    <w:rsid w:val="00AD0331"/>
    <w:rsid w:val="00AE3925"/>
    <w:rsid w:val="00AE728B"/>
    <w:rsid w:val="00AF2AE4"/>
    <w:rsid w:val="00B01752"/>
    <w:rsid w:val="00B03DDB"/>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39A5"/>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DF5486"/>
    <w:rsid w:val="00E05B57"/>
    <w:rsid w:val="00E215E2"/>
    <w:rsid w:val="00E2388E"/>
    <w:rsid w:val="00E275B6"/>
    <w:rsid w:val="00E323C2"/>
    <w:rsid w:val="00E54553"/>
    <w:rsid w:val="00E76BCC"/>
    <w:rsid w:val="00E83BB9"/>
    <w:rsid w:val="00E92731"/>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55E1B"/>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E807"/>
  <w15:chartTrackingRefBased/>
  <w15:docId w15:val="{02716EC4-C746-402E-9389-EB9969F5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a.la.gov/doa/osp/vendor-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a-osrap-eft@l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119</TotalTime>
  <Pages>9</Pages>
  <Words>3548</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20</cp:revision>
  <cp:lastPrinted>2026-04-22T16:31:00Z</cp:lastPrinted>
  <dcterms:created xsi:type="dcterms:W3CDTF">2026-04-06T14:03:00Z</dcterms:created>
  <dcterms:modified xsi:type="dcterms:W3CDTF">2026-04-22T18:12:00Z</dcterms:modified>
</cp:coreProperties>
</file>