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2C059DE5" w:rsidR="00E57614" w:rsidRPr="001D66B4" w:rsidRDefault="001D66B4" w:rsidP="00E57614">
      <w:pPr>
        <w:spacing w:after="0"/>
        <w:jc w:val="center"/>
        <w:rPr>
          <w:rFonts w:eastAsia="Times New Roman"/>
          <w:bCs/>
          <w:szCs w:val="24"/>
        </w:rPr>
      </w:pPr>
      <w:r w:rsidRPr="001D66B4">
        <w:rPr>
          <w:rFonts w:eastAsia="Times New Roman"/>
          <w:bCs/>
          <w:szCs w:val="24"/>
        </w:rPr>
        <w:t>April 21</w:t>
      </w:r>
      <w:r w:rsidR="00E57614" w:rsidRPr="001D66B4">
        <w:rPr>
          <w:rFonts w:eastAsia="Times New Roman"/>
          <w:bCs/>
          <w:szCs w:val="24"/>
        </w:rPr>
        <w:t>, 202</w:t>
      </w:r>
      <w:r w:rsidRPr="001D66B4">
        <w:rPr>
          <w:rFonts w:eastAsia="Times New Roman"/>
          <w:bCs/>
          <w:szCs w:val="24"/>
        </w:rPr>
        <w:t>6</w:t>
      </w:r>
    </w:p>
    <w:p w14:paraId="563096C2" w14:textId="77777777" w:rsidR="00E57614" w:rsidRPr="001D66B4" w:rsidRDefault="00E57614" w:rsidP="00E57614">
      <w:pPr>
        <w:spacing w:after="0"/>
        <w:jc w:val="center"/>
        <w:rPr>
          <w:rFonts w:eastAsia="Times New Roman"/>
          <w:b/>
          <w:bCs/>
          <w:szCs w:val="24"/>
        </w:rPr>
      </w:pPr>
    </w:p>
    <w:p w14:paraId="21146F30" w14:textId="4E7ABD58" w:rsidR="00E57614" w:rsidRPr="001D66B4" w:rsidRDefault="00E57614" w:rsidP="00E57614">
      <w:pPr>
        <w:spacing w:after="0"/>
        <w:jc w:val="center"/>
        <w:rPr>
          <w:rFonts w:eastAsia="Times New Roman"/>
          <w:b/>
          <w:bCs/>
          <w:i/>
          <w:iCs/>
          <w:szCs w:val="24"/>
        </w:rPr>
      </w:pPr>
      <w:r w:rsidRPr="001D66B4">
        <w:rPr>
          <w:rFonts w:eastAsia="Times New Roman"/>
          <w:b/>
          <w:bCs/>
          <w:szCs w:val="24"/>
        </w:rPr>
        <w:t xml:space="preserve">Addendum No. 01 </w:t>
      </w:r>
    </w:p>
    <w:p w14:paraId="27FA4EB1" w14:textId="77777777" w:rsidR="00E57614" w:rsidRPr="001D66B4" w:rsidRDefault="00E57614" w:rsidP="00E57614">
      <w:pPr>
        <w:spacing w:after="0"/>
        <w:jc w:val="center"/>
        <w:rPr>
          <w:rFonts w:eastAsia="Times New Roman"/>
          <w:b/>
          <w:bCs/>
          <w:szCs w:val="24"/>
        </w:rPr>
      </w:pPr>
    </w:p>
    <w:p w14:paraId="57F6F42F" w14:textId="125D32C4" w:rsidR="00E246D9" w:rsidRPr="001D66B4" w:rsidRDefault="00E246D9" w:rsidP="00E246D9">
      <w:pPr>
        <w:spacing w:after="0"/>
        <w:jc w:val="both"/>
        <w:rPr>
          <w:rFonts w:eastAsia="Times New Roman"/>
          <w:szCs w:val="24"/>
        </w:rPr>
      </w:pPr>
      <w:r w:rsidRPr="001D66B4">
        <w:rPr>
          <w:rFonts w:eastAsia="Times New Roman"/>
          <w:szCs w:val="24"/>
        </w:rPr>
        <w:t>Your reference is directed to RFx Number 30000</w:t>
      </w:r>
      <w:r w:rsidR="001D66B4" w:rsidRPr="001D66B4">
        <w:rPr>
          <w:rFonts w:eastAsia="Times New Roman"/>
          <w:szCs w:val="24"/>
        </w:rPr>
        <w:t>26025</w:t>
      </w:r>
      <w:r w:rsidRPr="001D66B4">
        <w:rPr>
          <w:rFonts w:eastAsia="Times New Roman"/>
          <w:szCs w:val="24"/>
        </w:rPr>
        <w:t xml:space="preserve"> for the Invitation to Bid (ITB) for the State of Louisiana – </w:t>
      </w:r>
      <w:r w:rsidR="001D66B4" w:rsidRPr="001D66B4">
        <w:rPr>
          <w:szCs w:val="24"/>
        </w:rPr>
        <w:t>Generators Towable and Stationary - Statewide</w:t>
      </w:r>
      <w:r w:rsidRPr="001D66B4">
        <w:rPr>
          <w:rFonts w:eastAsia="Times New Roman"/>
          <w:szCs w:val="24"/>
        </w:rPr>
        <w:t xml:space="preserve">, which is currently scheduled to open at </w:t>
      </w:r>
      <w:r w:rsidR="001D66B4" w:rsidRPr="001D66B4">
        <w:rPr>
          <w:rFonts w:eastAsia="Times New Roman"/>
          <w:szCs w:val="24"/>
        </w:rPr>
        <w:t>10:00 AM</w:t>
      </w:r>
      <w:r w:rsidRPr="001D66B4">
        <w:rPr>
          <w:rFonts w:eastAsia="Times New Roman"/>
          <w:szCs w:val="24"/>
        </w:rPr>
        <w:t xml:space="preserve"> CT on </w:t>
      </w:r>
      <w:r w:rsidR="001D66B4" w:rsidRPr="001D66B4">
        <w:rPr>
          <w:rFonts w:eastAsia="Times New Roman"/>
          <w:szCs w:val="24"/>
        </w:rPr>
        <w:t>April 28, 2026</w:t>
      </w:r>
      <w:r w:rsidRPr="001D66B4">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67A0FEC1" w:rsidR="00E246D9" w:rsidRDefault="00E246D9" w:rsidP="00E246D9">
      <w:pPr>
        <w:spacing w:after="0"/>
        <w:jc w:val="both"/>
        <w:rPr>
          <w:rFonts w:eastAsia="Times New Roman"/>
          <w:b/>
          <w:szCs w:val="24"/>
        </w:rPr>
      </w:pPr>
      <w:r>
        <w:rPr>
          <w:rFonts w:eastAsia="Times New Roman"/>
          <w:b/>
          <w:szCs w:val="24"/>
        </w:rPr>
        <w:t xml:space="preserve">The following are the Vendor’s Inquiries received by the deadline date of </w:t>
      </w:r>
      <w:r w:rsidR="001D66B4">
        <w:rPr>
          <w:rFonts w:eastAsia="Times New Roman"/>
          <w:b/>
          <w:szCs w:val="24"/>
        </w:rPr>
        <w:t>April 14, 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6DD4F54E"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Pr="009C7C7F">
        <w:rPr>
          <w:rFonts w:eastAsia="Times New Roman"/>
          <w:b/>
          <w:szCs w:val="24"/>
        </w:rPr>
        <w:t xml:space="preserve"> </w:t>
      </w:r>
      <w:r w:rsidR="001D66B4">
        <w:rPr>
          <w:rFonts w:ascii="Calibri-Bold" w:hAnsi="Calibri-Bold" w:cs="Calibri-Bold"/>
          <w:b/>
          <w:bCs/>
          <w:kern w:val="0"/>
          <w:sz w:val="23"/>
          <w:szCs w:val="23"/>
        </w:rPr>
        <w:t>UL 2200 Compliance - Listing Requirement</w:t>
      </w:r>
      <w:r w:rsidR="001D66B4">
        <w:rPr>
          <w:b/>
          <w:bCs/>
          <w:szCs w:val="24"/>
        </w:rPr>
        <w:t xml:space="preserve"> - </w:t>
      </w:r>
      <w:r w:rsidR="001D66B4">
        <w:rPr>
          <w:rFonts w:ascii="Calibri-Light" w:hAnsi="Calibri-Light" w:cs="Calibri-Light"/>
          <w:kern w:val="0"/>
          <w:sz w:val="23"/>
          <w:szCs w:val="23"/>
        </w:rPr>
        <w:t xml:space="preserve">As </w:t>
      </w:r>
      <w:bookmarkStart w:id="0" w:name="_Hlk227144998"/>
      <w:r w:rsidR="001D66B4">
        <w:rPr>
          <w:rFonts w:ascii="Calibri-Light" w:hAnsi="Calibri-Light" w:cs="Calibri-Light"/>
          <w:kern w:val="0"/>
          <w:sz w:val="23"/>
          <w:szCs w:val="23"/>
        </w:rPr>
        <w:t>UL 2200 (ANSI/CAN/UL/ULC 2200) 3rd Edition became mandatory on March 31, 2026</w:t>
      </w:r>
      <w:bookmarkEnd w:id="0"/>
      <w:r w:rsidR="001D66B4">
        <w:rPr>
          <w:rFonts w:ascii="Calibri-Light" w:hAnsi="Calibri-Light" w:cs="Calibri-Light"/>
          <w:kern w:val="0"/>
          <w:sz w:val="23"/>
          <w:szCs w:val="23"/>
        </w:rPr>
        <w:t>, for</w:t>
      </w:r>
      <w:r w:rsidR="001D66B4">
        <w:rPr>
          <w:b/>
          <w:bCs/>
          <w:szCs w:val="24"/>
        </w:rPr>
        <w:t xml:space="preserve"> </w:t>
      </w:r>
      <w:r w:rsidR="001D66B4">
        <w:rPr>
          <w:rFonts w:ascii="Calibri-Light" w:hAnsi="Calibri-Light" w:cs="Calibri-Light"/>
          <w:kern w:val="0"/>
          <w:sz w:val="23"/>
          <w:szCs w:val="23"/>
        </w:rPr>
        <w:t>stationary generator assemblies (Lines 10-173), please confirm whether the State intends to require</w:t>
      </w:r>
      <w:r w:rsidR="001D66B4">
        <w:rPr>
          <w:b/>
          <w:bCs/>
          <w:szCs w:val="24"/>
        </w:rPr>
        <w:t xml:space="preserve"> </w:t>
      </w:r>
      <w:r w:rsidR="001D66B4">
        <w:rPr>
          <w:rFonts w:ascii="Calibri-Light" w:hAnsi="Calibri-Light" w:cs="Calibri-Light"/>
          <w:kern w:val="0"/>
          <w:sz w:val="23"/>
          <w:szCs w:val="23"/>
        </w:rPr>
        <w:t xml:space="preserve">that all applicable standby generator units be </w:t>
      </w:r>
      <w:r w:rsidR="001D66B4">
        <w:rPr>
          <w:rFonts w:ascii="Calibri-Bold" w:hAnsi="Calibri-Bold" w:cs="Calibri-Bold"/>
          <w:b/>
          <w:bCs/>
          <w:kern w:val="0"/>
          <w:sz w:val="23"/>
          <w:szCs w:val="23"/>
        </w:rPr>
        <w:t>UL 2200 3</w:t>
      </w:r>
      <w:r w:rsidR="001D66B4">
        <w:rPr>
          <w:rFonts w:ascii="Calibri-Bold" w:hAnsi="Calibri-Bold" w:cs="Calibri-Bold"/>
          <w:b/>
          <w:bCs/>
          <w:kern w:val="0"/>
          <w:sz w:val="18"/>
          <w:szCs w:val="18"/>
        </w:rPr>
        <w:t xml:space="preserve">rd </w:t>
      </w:r>
      <w:r w:rsidR="001D66B4">
        <w:rPr>
          <w:rFonts w:ascii="Calibri-Bold" w:hAnsi="Calibri-Bold" w:cs="Calibri-Bold"/>
          <w:b/>
          <w:bCs/>
          <w:kern w:val="0"/>
          <w:sz w:val="23"/>
          <w:szCs w:val="23"/>
        </w:rPr>
        <w:t>Edition listed assemblies by a recognized</w:t>
      </w:r>
      <w:r w:rsidR="001D66B4">
        <w:rPr>
          <w:b/>
          <w:bCs/>
          <w:szCs w:val="24"/>
        </w:rPr>
        <w:t xml:space="preserve"> </w:t>
      </w:r>
      <w:r w:rsidR="001D66B4">
        <w:rPr>
          <w:rFonts w:ascii="Calibri-Bold" w:hAnsi="Calibri-Bold" w:cs="Calibri-Bold"/>
          <w:b/>
          <w:bCs/>
          <w:kern w:val="0"/>
          <w:sz w:val="23"/>
          <w:szCs w:val="23"/>
        </w:rPr>
        <w:t>testing laboratory</w:t>
      </w:r>
      <w:r w:rsidR="001D66B4">
        <w:rPr>
          <w:rFonts w:ascii="Calibri-Light" w:hAnsi="Calibri-Light" w:cs="Calibri-Light"/>
          <w:kern w:val="0"/>
          <w:sz w:val="23"/>
          <w:szCs w:val="23"/>
        </w:rPr>
        <w:t>.</w:t>
      </w:r>
    </w:p>
    <w:p w14:paraId="52357AE4" w14:textId="77777777" w:rsidR="00E246D9" w:rsidRPr="009C7C7F" w:rsidRDefault="00E246D9" w:rsidP="00E246D9">
      <w:pPr>
        <w:spacing w:after="0"/>
        <w:jc w:val="both"/>
        <w:rPr>
          <w:rFonts w:eastAsia="Times New Roman"/>
          <w:szCs w:val="24"/>
        </w:rPr>
      </w:pPr>
    </w:p>
    <w:p w14:paraId="4335B3C8" w14:textId="09B5C5F2" w:rsidR="00E57614" w:rsidRDefault="00E246D9" w:rsidP="001D66B4">
      <w:pPr>
        <w:autoSpaceDE w:val="0"/>
        <w:autoSpaceDN w:val="0"/>
        <w:adjustRightInd w:val="0"/>
        <w:spacing w:after="0"/>
        <w:rPr>
          <w:rFonts w:eastAsia="Times New Roman"/>
          <w:szCs w:val="24"/>
        </w:rPr>
      </w:pPr>
      <w:r w:rsidRPr="00C02C5B">
        <w:rPr>
          <w:b/>
          <w:szCs w:val="24"/>
        </w:rPr>
        <w:t>State’s Response</w:t>
      </w:r>
      <w:r>
        <w:rPr>
          <w:b/>
          <w:szCs w:val="24"/>
        </w:rPr>
        <w:t xml:space="preserve"> #1</w:t>
      </w:r>
      <w:r w:rsidRPr="00C02C5B">
        <w:rPr>
          <w:b/>
          <w:szCs w:val="24"/>
        </w:rPr>
        <w:t xml:space="preserve">: </w:t>
      </w:r>
      <w:r w:rsidR="00500DAB">
        <w:rPr>
          <w:rFonts w:eastAsia="Times New Roman"/>
          <w:szCs w:val="24"/>
        </w:rPr>
        <w:t xml:space="preserve">Yes, please see revised Attachment B – Generator Specifications (revised per Addendum No.1 dated April 21, 2026). </w:t>
      </w:r>
    </w:p>
    <w:p w14:paraId="001A45FB" w14:textId="35F395E1" w:rsidR="00D17517" w:rsidRDefault="00D17517" w:rsidP="001D66B4">
      <w:pPr>
        <w:autoSpaceDE w:val="0"/>
        <w:autoSpaceDN w:val="0"/>
        <w:adjustRightInd w:val="0"/>
        <w:spacing w:after="0"/>
        <w:rPr>
          <w:rFonts w:eastAsia="Times New Roman"/>
          <w:szCs w:val="24"/>
        </w:rPr>
      </w:pPr>
    </w:p>
    <w:p w14:paraId="66D8F958" w14:textId="3DCB9CC2" w:rsidR="00D17517" w:rsidRPr="00D17517" w:rsidRDefault="00D17517" w:rsidP="00D17517">
      <w:pPr>
        <w:autoSpaceDE w:val="0"/>
        <w:autoSpaceDN w:val="0"/>
        <w:adjustRightInd w:val="0"/>
        <w:spacing w:after="0"/>
        <w:rPr>
          <w:rFonts w:eastAsia="Times New Roman"/>
          <w:b/>
          <w:bCs/>
          <w:szCs w:val="24"/>
        </w:rPr>
      </w:pPr>
      <w:r w:rsidRPr="00EA2320">
        <w:rPr>
          <w:rFonts w:eastAsia="Times New Roman"/>
          <w:b/>
          <w:szCs w:val="24"/>
        </w:rPr>
        <w:t>Attachment B, Page 3</w:t>
      </w:r>
      <w:r w:rsidR="00061065">
        <w:rPr>
          <w:rFonts w:eastAsia="Times New Roman"/>
          <w:b/>
          <w:szCs w:val="24"/>
        </w:rPr>
        <w:t>, Unit Performance</w:t>
      </w:r>
      <w:r w:rsidRPr="00EA2320">
        <w:rPr>
          <w:rFonts w:eastAsia="Times New Roman"/>
          <w:b/>
          <w:szCs w:val="24"/>
        </w:rPr>
        <w:t xml:space="preserve"> currently reads: </w:t>
      </w:r>
      <w:r w:rsidRPr="00D1645F">
        <w:rPr>
          <w:rFonts w:asciiTheme="minorHAnsi" w:hAnsiTheme="minorHAnsi" w:cstheme="minorHAnsi"/>
        </w:rPr>
        <w:t>The unit shall be in compliance with UL2200, listed unit frequency regulation and shall not exceed 3 Hz from no load to rated load. Voltage regulation shall be within plus or minus 2% of rated voltage, from no load to full rated load. The instantaneous dip shall be less than 25% of rated voltage unless otherwise specified when full three phase load and rated power factor is applied to the alternator. Recovery to stable operation shall occur within two seconds. Stable or steady state operation is defined as operation with terminal voltage remaining constant within plus or minus 1% rated voltage. A rheostat shall be provided, a minimum plus or minus 5% voltage adjustment from rated value. Temperature rise shall be within NEMA mg-22.40 definition. The rating of the prime mover shall be such that any over-loads which occur during motor starting, even though they may exceed the steady state capability of the prime mover, shall not cause stalling.</w:t>
      </w:r>
    </w:p>
    <w:p w14:paraId="3362DFE7" w14:textId="77777777" w:rsidR="00D17517" w:rsidRDefault="00D17517" w:rsidP="00D17517">
      <w:pPr>
        <w:spacing w:after="0"/>
        <w:jc w:val="both"/>
        <w:rPr>
          <w:rFonts w:asciiTheme="minorHAnsi" w:hAnsiTheme="minorHAnsi" w:cstheme="minorHAnsi"/>
        </w:rPr>
      </w:pPr>
    </w:p>
    <w:p w14:paraId="3DAFA929" w14:textId="5B120903" w:rsidR="00D17517" w:rsidRPr="00AA2B1E" w:rsidRDefault="00D17517" w:rsidP="00D17517">
      <w:pPr>
        <w:spacing w:after="0"/>
        <w:jc w:val="both"/>
        <w:rPr>
          <w:rFonts w:eastAsia="Times New Roman"/>
          <w:b/>
          <w:szCs w:val="24"/>
        </w:rPr>
      </w:pPr>
      <w:r w:rsidRPr="00EA2320">
        <w:rPr>
          <w:rFonts w:eastAsia="Times New Roman"/>
          <w:b/>
          <w:szCs w:val="24"/>
        </w:rPr>
        <w:t>Attachment B, Page 3</w:t>
      </w:r>
      <w:r w:rsidR="00061065">
        <w:rPr>
          <w:rFonts w:eastAsia="Times New Roman"/>
          <w:b/>
          <w:szCs w:val="24"/>
        </w:rPr>
        <w:t>, Unit Performance</w:t>
      </w:r>
      <w:r w:rsidRPr="00EA2320">
        <w:rPr>
          <w:rFonts w:eastAsia="Times New Roman"/>
          <w:b/>
          <w:szCs w:val="24"/>
        </w:rPr>
        <w:t xml:space="preserve"> changed to read:</w:t>
      </w:r>
      <w:r w:rsidR="00AA2B1E">
        <w:rPr>
          <w:rFonts w:eastAsia="Times New Roman"/>
          <w:b/>
          <w:szCs w:val="24"/>
        </w:rPr>
        <w:t xml:space="preserve"> </w:t>
      </w:r>
      <w:r w:rsidRPr="00BF11BD">
        <w:rPr>
          <w:rFonts w:asciiTheme="minorHAnsi" w:hAnsiTheme="minorHAnsi" w:cstheme="minorHAnsi"/>
        </w:rPr>
        <w:t xml:space="preserve">The engine generator assembly shall be </w:t>
      </w:r>
      <w:r w:rsidR="001167E7">
        <w:rPr>
          <w:rFonts w:asciiTheme="minorHAnsi" w:hAnsiTheme="minorHAnsi" w:cstheme="minorHAnsi"/>
        </w:rPr>
        <w:t>l</w:t>
      </w:r>
      <w:r w:rsidRPr="00BF11BD">
        <w:rPr>
          <w:rFonts w:asciiTheme="minorHAnsi" w:hAnsiTheme="minorHAnsi" w:cstheme="minorHAnsi"/>
        </w:rPr>
        <w:t xml:space="preserve">isted and </w:t>
      </w:r>
      <w:r w:rsidR="001167E7">
        <w:rPr>
          <w:rFonts w:asciiTheme="minorHAnsi" w:hAnsiTheme="minorHAnsi" w:cstheme="minorHAnsi"/>
        </w:rPr>
        <w:t>l</w:t>
      </w:r>
      <w:r w:rsidRPr="00BF11BD">
        <w:rPr>
          <w:rFonts w:asciiTheme="minorHAnsi" w:hAnsiTheme="minorHAnsi" w:cstheme="minorHAnsi"/>
        </w:rPr>
        <w:t>abeled to UL 2200</w:t>
      </w:r>
      <w:r>
        <w:rPr>
          <w:rFonts w:asciiTheme="minorHAnsi" w:hAnsiTheme="minorHAnsi" w:cstheme="minorHAnsi"/>
        </w:rPr>
        <w:t xml:space="preserve"> 3</w:t>
      </w:r>
      <w:r w:rsidRPr="00D17517">
        <w:rPr>
          <w:rFonts w:asciiTheme="minorHAnsi" w:hAnsiTheme="minorHAnsi" w:cstheme="minorHAnsi"/>
          <w:vertAlign w:val="superscript"/>
        </w:rPr>
        <w:t>rd</w:t>
      </w:r>
      <w:r>
        <w:rPr>
          <w:rFonts w:asciiTheme="minorHAnsi" w:hAnsiTheme="minorHAnsi" w:cstheme="minorHAnsi"/>
        </w:rPr>
        <w:t xml:space="preserve"> Edition. </w:t>
      </w:r>
    </w:p>
    <w:p w14:paraId="54D77BD3" w14:textId="77777777" w:rsidR="00D17517" w:rsidRDefault="00D17517" w:rsidP="00D17517">
      <w:pPr>
        <w:spacing w:after="0"/>
        <w:jc w:val="both"/>
        <w:rPr>
          <w:rFonts w:asciiTheme="minorHAnsi" w:hAnsiTheme="minorHAnsi" w:cstheme="minorHAnsi"/>
        </w:rPr>
      </w:pPr>
    </w:p>
    <w:p w14:paraId="0FAAD532" w14:textId="77777777" w:rsidR="00D17517" w:rsidRPr="001D66B4" w:rsidRDefault="00D17517" w:rsidP="00D17517">
      <w:pPr>
        <w:spacing w:after="0"/>
        <w:jc w:val="both"/>
        <w:rPr>
          <w:b/>
          <w:bCs/>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w:lastRenderedPageBreak/>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623F663F" w:rsidR="00E57614" w:rsidRPr="007D2F47" w:rsidRDefault="00E57614" w:rsidP="00E5761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7D2F47" w:rsidRPr="007D2F47">
        <w:rPr>
          <w:rFonts w:eastAsia="Times New Roman"/>
          <w:szCs w:val="24"/>
        </w:rPr>
        <w:t>Donald Hunter</w:t>
      </w:r>
    </w:p>
    <w:p w14:paraId="4E3C0BB8" w14:textId="77777777" w:rsidR="00E57614" w:rsidRPr="007D2F47" w:rsidRDefault="00E57614" w:rsidP="00E57614">
      <w:pPr>
        <w:spacing w:after="0"/>
        <w:rPr>
          <w:rFonts w:eastAsia="Times New Roman"/>
          <w:szCs w:val="24"/>
        </w:rPr>
      </w:pPr>
      <w:r w:rsidRPr="007D2F47">
        <w:rPr>
          <w:rFonts w:eastAsia="Times New Roman"/>
          <w:szCs w:val="24"/>
        </w:rPr>
        <w:tab/>
        <w:t>Office of State Procurement</w:t>
      </w:r>
    </w:p>
    <w:p w14:paraId="709A7E56" w14:textId="3B94799B" w:rsidR="00E57614" w:rsidRPr="007D2F47" w:rsidRDefault="00E57614" w:rsidP="00E57614">
      <w:pPr>
        <w:spacing w:after="0"/>
        <w:rPr>
          <w:rFonts w:eastAsia="Times New Roman"/>
          <w:szCs w:val="24"/>
        </w:rPr>
      </w:pPr>
      <w:r w:rsidRPr="007D2F47">
        <w:rPr>
          <w:rFonts w:eastAsia="Times New Roman"/>
          <w:szCs w:val="24"/>
        </w:rPr>
        <w:tab/>
        <w:t>Telephone No. 225-342-</w:t>
      </w:r>
      <w:r w:rsidR="007D2F47" w:rsidRPr="007D2F47">
        <w:rPr>
          <w:rFonts w:eastAsia="Times New Roman"/>
          <w:szCs w:val="24"/>
        </w:rPr>
        <w:t>5484</w:t>
      </w:r>
    </w:p>
    <w:p w14:paraId="74B3EE8A" w14:textId="363E77C2" w:rsidR="008E7953" w:rsidRPr="007D2F47" w:rsidRDefault="00E57614" w:rsidP="00E57614">
      <w:pPr>
        <w:spacing w:after="0"/>
        <w:rPr>
          <w:rFonts w:eastAsia="Times New Roman"/>
          <w:szCs w:val="24"/>
        </w:rPr>
      </w:pPr>
      <w:r w:rsidRPr="007D2F47">
        <w:rPr>
          <w:rFonts w:eastAsia="Times New Roman"/>
          <w:szCs w:val="24"/>
        </w:rPr>
        <w:tab/>
        <w:t xml:space="preserve">Email:  </w:t>
      </w:r>
      <w:r w:rsidR="007D2F47" w:rsidRPr="007D2F47">
        <w:rPr>
          <w:rFonts w:eastAsia="Times New Roman"/>
          <w:szCs w:val="24"/>
        </w:rPr>
        <w:t xml:space="preserve">donald.hunter2@la.gov </w:t>
      </w:r>
    </w:p>
    <w:sectPr w:rsidR="008E7953" w:rsidRPr="007D2F47"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61065"/>
    <w:rsid w:val="001167E7"/>
    <w:rsid w:val="001D66B4"/>
    <w:rsid w:val="0047645C"/>
    <w:rsid w:val="00491DEC"/>
    <w:rsid w:val="00500DAB"/>
    <w:rsid w:val="005441A5"/>
    <w:rsid w:val="005601DE"/>
    <w:rsid w:val="0068536F"/>
    <w:rsid w:val="007A24AE"/>
    <w:rsid w:val="007D2F47"/>
    <w:rsid w:val="008D2868"/>
    <w:rsid w:val="008E7953"/>
    <w:rsid w:val="00906678"/>
    <w:rsid w:val="00AA2B1E"/>
    <w:rsid w:val="00AD2C98"/>
    <w:rsid w:val="00B262A7"/>
    <w:rsid w:val="00B7566A"/>
    <w:rsid w:val="00BD7114"/>
    <w:rsid w:val="00D17517"/>
    <w:rsid w:val="00E246D9"/>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7D2F47"/>
    <w:rPr>
      <w:color w:val="0563C1" w:themeColor="hyperlink"/>
      <w:u w:val="single"/>
    </w:rPr>
  </w:style>
  <w:style w:type="character" w:styleId="UnresolvedMention">
    <w:name w:val="Unresolved Mention"/>
    <w:basedOn w:val="DefaultParagraphFont"/>
    <w:uiPriority w:val="99"/>
    <w:semiHidden/>
    <w:unhideWhenUsed/>
    <w:rsid w:val="007D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12</TotalTime>
  <Pages>2</Pages>
  <Words>604</Words>
  <Characters>3448</Characters>
  <Application>Microsoft Office Word</Application>
  <DocSecurity>0</DocSecurity>
  <Lines>28</Lines>
  <Paragraphs>8</Paragraphs>
  <ScaleCrop>false</ScaleCrop>
  <Company>State of Louisiana</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Donald Hunter</cp:lastModifiedBy>
  <cp:revision>12</cp:revision>
  <cp:lastPrinted>2026-04-20T21:03:00Z</cp:lastPrinted>
  <dcterms:created xsi:type="dcterms:W3CDTF">2026-04-15T19:04:00Z</dcterms:created>
  <dcterms:modified xsi:type="dcterms:W3CDTF">2026-04-21T21:22:00Z</dcterms:modified>
</cp:coreProperties>
</file>