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A5" w:rsidRPr="0061585E" w:rsidRDefault="003464A5" w:rsidP="003464A5">
      <w:pPr>
        <w:spacing w:after="0"/>
        <w:jc w:val="center"/>
        <w:rPr>
          <w:rFonts w:ascii="Times New Roman" w:hAnsi="Times New Roman"/>
          <w:b/>
          <w:szCs w:val="24"/>
        </w:rPr>
      </w:pPr>
      <w:r w:rsidRPr="0061585E">
        <w:rPr>
          <w:rFonts w:ascii="Times New Roman" w:hAnsi="Times New Roman"/>
          <w:b/>
          <w:szCs w:val="24"/>
        </w:rPr>
        <w:t xml:space="preserve">Attachment </w:t>
      </w:r>
      <w:r>
        <w:rPr>
          <w:rFonts w:ascii="Times New Roman" w:hAnsi="Times New Roman"/>
          <w:b/>
          <w:szCs w:val="24"/>
        </w:rPr>
        <w:t>B</w:t>
      </w:r>
      <w:r w:rsidRPr="0061585E">
        <w:rPr>
          <w:rFonts w:ascii="Times New Roman" w:hAnsi="Times New Roman"/>
          <w:b/>
          <w:szCs w:val="24"/>
        </w:rPr>
        <w:t xml:space="preserve"> - </w:t>
      </w:r>
      <w:r>
        <w:rPr>
          <w:rFonts w:ascii="Times New Roman" w:hAnsi="Times New Roman"/>
          <w:b/>
          <w:szCs w:val="24"/>
        </w:rPr>
        <w:t>Specifications</w:t>
      </w:r>
    </w:p>
    <w:p w:rsidR="003464A5" w:rsidRDefault="003464A5" w:rsidP="003464A5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Safe Drinking Water Test Kits </w:t>
      </w:r>
    </w:p>
    <w:p w:rsidR="003464A5" w:rsidRPr="009F0371" w:rsidRDefault="003464A5" w:rsidP="003464A5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Louisiana Department of Health, Office of Public Health (LDH/OPH)</w:t>
      </w:r>
    </w:p>
    <w:p w:rsidR="003464A5" w:rsidRPr="0061585E" w:rsidRDefault="003464A5" w:rsidP="003464A5">
      <w:pPr>
        <w:spacing w:after="0"/>
        <w:jc w:val="center"/>
        <w:rPr>
          <w:rFonts w:ascii="Times New Roman" w:hAnsi="Times New Roman"/>
          <w:b/>
          <w:bCs/>
          <w:szCs w:val="24"/>
        </w:rPr>
      </w:pPr>
      <w:proofErr w:type="spellStart"/>
      <w:r w:rsidRPr="009F0371">
        <w:rPr>
          <w:rFonts w:ascii="Times New Roman" w:hAnsi="Times New Roman"/>
          <w:b/>
          <w:szCs w:val="24"/>
        </w:rPr>
        <w:t>RFx</w:t>
      </w:r>
      <w:proofErr w:type="spellEnd"/>
      <w:r w:rsidRPr="009F0371">
        <w:rPr>
          <w:rFonts w:ascii="Times New Roman" w:hAnsi="Times New Roman"/>
          <w:b/>
          <w:szCs w:val="24"/>
        </w:rPr>
        <w:t xml:space="preserve"> #</w:t>
      </w:r>
      <w:r>
        <w:rPr>
          <w:rFonts w:ascii="Times New Roman" w:hAnsi="Times New Roman"/>
          <w:b/>
          <w:szCs w:val="24"/>
        </w:rPr>
        <w:t>30000</w:t>
      </w:r>
      <w:r w:rsidR="00BE580F">
        <w:rPr>
          <w:rFonts w:ascii="Times New Roman" w:hAnsi="Times New Roman"/>
          <w:b/>
          <w:szCs w:val="24"/>
        </w:rPr>
        <w:t>25752</w:t>
      </w:r>
    </w:p>
    <w:p w:rsidR="00A063D4" w:rsidRDefault="00A063D4" w:rsidP="004D3EA4">
      <w:pPr>
        <w:spacing w:after="0"/>
        <w:ind w:left="100" w:right="9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75F8A" w:rsidRDefault="003464A5" w:rsidP="00B42F50">
      <w:pPr>
        <w:spacing w:after="0"/>
        <w:ind w:right="86"/>
        <w:rPr>
          <w:rFonts w:ascii="Times New Roman" w:hAnsi="Times New Roman"/>
          <w:b/>
          <w:bCs/>
          <w:szCs w:val="22"/>
        </w:rPr>
      </w:pPr>
      <w:r w:rsidRPr="00B42F50">
        <w:rPr>
          <w:rFonts w:ascii="Times New Roman" w:hAnsi="Times New Roman"/>
          <w:bCs/>
          <w:szCs w:val="22"/>
        </w:rPr>
        <w:t xml:space="preserve">The </w:t>
      </w:r>
      <w:r w:rsidR="00542AFA" w:rsidRPr="00B42F50">
        <w:rPr>
          <w:rFonts w:ascii="Times New Roman" w:hAnsi="Times New Roman"/>
          <w:bCs/>
          <w:szCs w:val="22"/>
        </w:rPr>
        <w:t>successful v</w:t>
      </w:r>
      <w:r w:rsidR="00D75F8A" w:rsidRPr="00B42F50">
        <w:rPr>
          <w:rFonts w:ascii="Times New Roman" w:hAnsi="Times New Roman"/>
          <w:bCs/>
          <w:szCs w:val="22"/>
        </w:rPr>
        <w:t xml:space="preserve">endor </w:t>
      </w:r>
      <w:r w:rsidR="00542AFA" w:rsidRPr="00B42F50">
        <w:rPr>
          <w:rFonts w:ascii="Times New Roman" w:hAnsi="Times New Roman"/>
          <w:bCs/>
          <w:szCs w:val="22"/>
        </w:rPr>
        <w:t>shall be</w:t>
      </w:r>
      <w:r w:rsidR="00D75F8A" w:rsidRPr="00B42F50">
        <w:rPr>
          <w:rFonts w:ascii="Times New Roman" w:hAnsi="Times New Roman"/>
          <w:bCs/>
          <w:szCs w:val="22"/>
        </w:rPr>
        <w:t xml:space="preserve"> responsible for shipping to </w:t>
      </w:r>
      <w:r w:rsidR="00EB2CD0" w:rsidRPr="00B42F50">
        <w:rPr>
          <w:rFonts w:ascii="Times New Roman" w:hAnsi="Times New Roman"/>
          <w:bCs/>
          <w:szCs w:val="22"/>
        </w:rPr>
        <w:t>10</w:t>
      </w:r>
      <w:r w:rsidR="00D75F8A" w:rsidRPr="00B42F50">
        <w:rPr>
          <w:rFonts w:ascii="Times New Roman" w:hAnsi="Times New Roman"/>
          <w:bCs/>
          <w:szCs w:val="22"/>
        </w:rPr>
        <w:t xml:space="preserve"> different locations within the State of Louisiana on an </w:t>
      </w:r>
      <w:r w:rsidR="00542AFA" w:rsidRPr="00B42F50">
        <w:rPr>
          <w:rFonts w:ascii="Times New Roman" w:hAnsi="Times New Roman"/>
          <w:bCs/>
          <w:szCs w:val="22"/>
        </w:rPr>
        <w:t>as-needed</w:t>
      </w:r>
      <w:r w:rsidR="00D75F8A" w:rsidRPr="00B42F50">
        <w:rPr>
          <w:rFonts w:ascii="Times New Roman" w:hAnsi="Times New Roman"/>
          <w:bCs/>
          <w:szCs w:val="22"/>
        </w:rPr>
        <w:t xml:space="preserve"> basis. </w:t>
      </w:r>
      <w:r w:rsidR="00542AFA" w:rsidRPr="00B42F50">
        <w:rPr>
          <w:rFonts w:ascii="Times New Roman" w:hAnsi="Times New Roman"/>
          <w:bCs/>
          <w:szCs w:val="22"/>
        </w:rPr>
        <w:t>The l</w:t>
      </w:r>
      <w:r w:rsidR="00D75F8A" w:rsidRPr="00B42F50">
        <w:rPr>
          <w:rFonts w:ascii="Times New Roman" w:hAnsi="Times New Roman"/>
          <w:bCs/>
          <w:szCs w:val="22"/>
        </w:rPr>
        <w:t xml:space="preserve">ocations are listed below. </w:t>
      </w:r>
      <w:r w:rsidR="00EB2CD0" w:rsidRPr="00B42F50">
        <w:rPr>
          <w:rFonts w:ascii="Times New Roman" w:hAnsi="Times New Roman"/>
          <w:b/>
          <w:bCs/>
          <w:szCs w:val="22"/>
        </w:rPr>
        <w:t>The Louisiana Department of Health, Office of Public Health</w:t>
      </w:r>
      <w:r w:rsidR="00EB2CD0" w:rsidRPr="00B42F50">
        <w:rPr>
          <w:rFonts w:ascii="Times New Roman" w:hAnsi="Times New Roman"/>
          <w:bCs/>
          <w:szCs w:val="22"/>
        </w:rPr>
        <w:t xml:space="preserve"> (</w:t>
      </w:r>
      <w:r w:rsidR="00D75F8A" w:rsidRPr="00B42F50">
        <w:rPr>
          <w:rFonts w:ascii="Times New Roman" w:hAnsi="Times New Roman"/>
          <w:b/>
          <w:bCs/>
          <w:szCs w:val="22"/>
        </w:rPr>
        <w:t>LDH</w:t>
      </w:r>
      <w:r w:rsidR="00EB2CD0" w:rsidRPr="00B42F50">
        <w:rPr>
          <w:rFonts w:ascii="Times New Roman" w:hAnsi="Times New Roman"/>
          <w:b/>
          <w:bCs/>
          <w:szCs w:val="22"/>
        </w:rPr>
        <w:t>/OPH)</w:t>
      </w:r>
      <w:r w:rsidR="00D75F8A" w:rsidRPr="00B42F50">
        <w:rPr>
          <w:rFonts w:ascii="Times New Roman" w:hAnsi="Times New Roman"/>
          <w:b/>
          <w:bCs/>
          <w:szCs w:val="22"/>
        </w:rPr>
        <w:t xml:space="preserve"> will provide the </w:t>
      </w:r>
      <w:r w:rsidR="00542AFA" w:rsidRPr="00B42F50">
        <w:rPr>
          <w:rFonts w:ascii="Times New Roman" w:hAnsi="Times New Roman"/>
          <w:b/>
          <w:bCs/>
          <w:szCs w:val="22"/>
        </w:rPr>
        <w:t>successful v</w:t>
      </w:r>
      <w:r w:rsidR="00D75F8A" w:rsidRPr="00B42F50">
        <w:rPr>
          <w:rFonts w:ascii="Times New Roman" w:hAnsi="Times New Roman"/>
          <w:b/>
          <w:bCs/>
          <w:szCs w:val="22"/>
        </w:rPr>
        <w:t>endor with a list of contacts</w:t>
      </w:r>
      <w:r w:rsidR="00AC28AA" w:rsidRPr="00B42F50">
        <w:rPr>
          <w:rFonts w:ascii="Times New Roman" w:hAnsi="Times New Roman"/>
          <w:b/>
          <w:bCs/>
          <w:szCs w:val="22"/>
        </w:rPr>
        <w:t xml:space="preserve"> authorized to place orde</w:t>
      </w:r>
      <w:r w:rsidR="00542AFA" w:rsidRPr="00B42F50">
        <w:rPr>
          <w:rFonts w:ascii="Times New Roman" w:hAnsi="Times New Roman"/>
          <w:b/>
          <w:bCs/>
          <w:szCs w:val="22"/>
        </w:rPr>
        <w:t>rs on behalf of the Department</w:t>
      </w:r>
      <w:r w:rsidR="00896A87" w:rsidRPr="00B42F50">
        <w:rPr>
          <w:rFonts w:ascii="Times New Roman" w:hAnsi="Times New Roman"/>
          <w:b/>
          <w:bCs/>
          <w:szCs w:val="22"/>
        </w:rPr>
        <w:t>. LDH</w:t>
      </w:r>
      <w:r w:rsidR="00542AFA" w:rsidRPr="00B42F50">
        <w:rPr>
          <w:rFonts w:ascii="Times New Roman" w:hAnsi="Times New Roman"/>
          <w:b/>
          <w:bCs/>
          <w:szCs w:val="22"/>
        </w:rPr>
        <w:t>/OPH</w:t>
      </w:r>
      <w:r w:rsidR="00896A87" w:rsidRPr="00B42F50">
        <w:rPr>
          <w:rFonts w:ascii="Times New Roman" w:hAnsi="Times New Roman"/>
          <w:b/>
          <w:bCs/>
          <w:szCs w:val="22"/>
        </w:rPr>
        <w:t xml:space="preserve"> will only accept and pay for orders placed by the contacts on the provided list.</w:t>
      </w:r>
    </w:p>
    <w:p w:rsidR="00B42F50" w:rsidRPr="00B42F50" w:rsidRDefault="00B42F50" w:rsidP="00B42F50">
      <w:pPr>
        <w:spacing w:after="0"/>
        <w:ind w:right="86"/>
        <w:rPr>
          <w:rFonts w:ascii="Times New Roman" w:hAnsi="Times New Roman"/>
          <w:bCs/>
          <w:szCs w:val="22"/>
        </w:rPr>
      </w:pPr>
    </w:p>
    <w:p w:rsidR="001C7921" w:rsidRDefault="001C7921" w:rsidP="00B42F50">
      <w:pPr>
        <w:spacing w:after="0"/>
        <w:ind w:right="86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Cs/>
          <w:szCs w:val="22"/>
        </w:rPr>
        <w:t>The</w:t>
      </w:r>
      <w:r w:rsidR="00D75F8A" w:rsidRPr="00B42F50">
        <w:rPr>
          <w:rFonts w:ascii="Times New Roman" w:hAnsi="Times New Roman"/>
          <w:bCs/>
          <w:szCs w:val="22"/>
        </w:rPr>
        <w:t xml:space="preserve"> </w:t>
      </w:r>
      <w:r w:rsidR="00F76CF6">
        <w:rPr>
          <w:rFonts w:ascii="Times New Roman" w:hAnsi="Times New Roman"/>
          <w:bCs/>
          <w:szCs w:val="22"/>
        </w:rPr>
        <w:t>specified</w:t>
      </w:r>
      <w:bookmarkStart w:id="0" w:name="_GoBack"/>
      <w:bookmarkEnd w:id="0"/>
      <w:r w:rsidR="00D75F8A" w:rsidRPr="00B42F50">
        <w:rPr>
          <w:rFonts w:ascii="Times New Roman" w:hAnsi="Times New Roman"/>
          <w:bCs/>
          <w:szCs w:val="22"/>
        </w:rPr>
        <w:t xml:space="preserve"> drinking water sampling supplies</w:t>
      </w:r>
      <w:r>
        <w:rPr>
          <w:rFonts w:ascii="Times New Roman" w:hAnsi="Times New Roman"/>
          <w:bCs/>
          <w:szCs w:val="22"/>
        </w:rPr>
        <w:t xml:space="preserve"> as stated in Attachment C – Price Sheet</w:t>
      </w:r>
      <w:r w:rsidR="00D75F8A" w:rsidRPr="00B42F50">
        <w:rPr>
          <w:rFonts w:ascii="Times New Roman" w:hAnsi="Times New Roman"/>
          <w:bCs/>
          <w:szCs w:val="22"/>
        </w:rPr>
        <w:t xml:space="preserve"> are needed fo</w:t>
      </w:r>
      <w:r w:rsidR="00B42F50">
        <w:rPr>
          <w:rFonts w:ascii="Times New Roman" w:hAnsi="Times New Roman"/>
          <w:bCs/>
          <w:szCs w:val="22"/>
        </w:rPr>
        <w:t xml:space="preserve">r the collection and testing of </w:t>
      </w:r>
      <w:r w:rsidR="00D75F8A" w:rsidRPr="00B42F50">
        <w:rPr>
          <w:rFonts w:ascii="Times New Roman" w:hAnsi="Times New Roman"/>
          <w:bCs/>
          <w:szCs w:val="22"/>
        </w:rPr>
        <w:t xml:space="preserve">drinking water samples for the State of Louisiana. Supplies </w:t>
      </w:r>
      <w:r w:rsidR="00B42F50" w:rsidRPr="00B42F50">
        <w:rPr>
          <w:rFonts w:ascii="Times New Roman" w:hAnsi="Times New Roman"/>
          <w:bCs/>
          <w:szCs w:val="22"/>
        </w:rPr>
        <w:t>shall</w:t>
      </w:r>
      <w:r w:rsidR="00D75F8A" w:rsidRPr="00B42F50">
        <w:rPr>
          <w:rFonts w:ascii="Times New Roman" w:hAnsi="Times New Roman"/>
          <w:bCs/>
          <w:szCs w:val="22"/>
        </w:rPr>
        <w:t xml:space="preserve"> be shipped statewide as listed below. Due to the time sensitive nature of drinking water sampling, orders </w:t>
      </w:r>
      <w:r w:rsidR="00896A87" w:rsidRPr="00B42F50">
        <w:rPr>
          <w:rFonts w:ascii="Times New Roman" w:hAnsi="Times New Roman"/>
          <w:bCs/>
          <w:szCs w:val="22"/>
        </w:rPr>
        <w:t>must be shipped within 15</w:t>
      </w:r>
      <w:r w:rsidR="00D75F8A" w:rsidRPr="00B42F50">
        <w:rPr>
          <w:rFonts w:ascii="Times New Roman" w:hAnsi="Times New Roman"/>
          <w:bCs/>
          <w:szCs w:val="22"/>
        </w:rPr>
        <w:t xml:space="preserve"> business days of an order being placed unless an exception is approved by LDH</w:t>
      </w:r>
      <w:r w:rsidR="00542AFA" w:rsidRPr="00B42F50">
        <w:rPr>
          <w:rFonts w:ascii="Times New Roman" w:hAnsi="Times New Roman"/>
          <w:bCs/>
          <w:szCs w:val="22"/>
        </w:rPr>
        <w:t>/OPH</w:t>
      </w:r>
      <w:r w:rsidR="00D75F8A" w:rsidRPr="00B42F50">
        <w:rPr>
          <w:rFonts w:ascii="Times New Roman" w:hAnsi="Times New Roman"/>
          <w:bCs/>
          <w:szCs w:val="22"/>
        </w:rPr>
        <w:t xml:space="preserve">. </w:t>
      </w:r>
      <w:r w:rsidR="00D75F8A" w:rsidRPr="00B42F50">
        <w:rPr>
          <w:rFonts w:ascii="Times New Roman" w:hAnsi="Times New Roman"/>
          <w:b/>
          <w:bCs/>
          <w:szCs w:val="22"/>
        </w:rPr>
        <w:t xml:space="preserve">All shipments must be sent </w:t>
      </w:r>
      <w:r w:rsidR="00B42F50" w:rsidRPr="00B42F50">
        <w:rPr>
          <w:rFonts w:ascii="Times New Roman" w:hAnsi="Times New Roman"/>
          <w:b/>
          <w:bCs/>
          <w:szCs w:val="22"/>
        </w:rPr>
        <w:t>Freight on Board (</w:t>
      </w:r>
      <w:r w:rsidR="00D75F8A" w:rsidRPr="00B42F50">
        <w:rPr>
          <w:rFonts w:ascii="Times New Roman" w:hAnsi="Times New Roman"/>
          <w:b/>
          <w:bCs/>
          <w:szCs w:val="22"/>
        </w:rPr>
        <w:t>FOB</w:t>
      </w:r>
      <w:r w:rsidR="00B42F50" w:rsidRPr="00B42F50">
        <w:rPr>
          <w:rFonts w:ascii="Times New Roman" w:hAnsi="Times New Roman"/>
          <w:b/>
          <w:bCs/>
          <w:szCs w:val="22"/>
        </w:rPr>
        <w:t>)</w:t>
      </w:r>
      <w:r w:rsidR="00D75F8A" w:rsidRPr="00B42F50">
        <w:rPr>
          <w:rFonts w:ascii="Times New Roman" w:hAnsi="Times New Roman"/>
          <w:b/>
          <w:bCs/>
          <w:szCs w:val="22"/>
        </w:rPr>
        <w:t xml:space="preserve"> Destination. </w:t>
      </w:r>
      <w:r w:rsidR="00542AFA" w:rsidRPr="00B42F50">
        <w:rPr>
          <w:rFonts w:ascii="Times New Roman" w:hAnsi="Times New Roman"/>
          <w:b/>
          <w:bCs/>
          <w:szCs w:val="22"/>
        </w:rPr>
        <w:t xml:space="preserve">The </w:t>
      </w:r>
      <w:r w:rsidR="00B42F50" w:rsidRPr="00B42F50">
        <w:rPr>
          <w:rFonts w:ascii="Times New Roman" w:hAnsi="Times New Roman"/>
          <w:b/>
          <w:bCs/>
          <w:szCs w:val="22"/>
        </w:rPr>
        <w:t>successful v</w:t>
      </w:r>
      <w:r w:rsidR="00D75F8A" w:rsidRPr="00B42F50">
        <w:rPr>
          <w:rFonts w:ascii="Times New Roman" w:hAnsi="Times New Roman"/>
          <w:b/>
          <w:bCs/>
          <w:szCs w:val="22"/>
        </w:rPr>
        <w:t>endor is responsible for all shipping costs and fees.</w:t>
      </w:r>
      <w:r w:rsidR="00D75F8A" w:rsidRPr="00B42F50">
        <w:rPr>
          <w:rFonts w:ascii="Times New Roman" w:hAnsi="Times New Roman"/>
          <w:bCs/>
          <w:szCs w:val="22"/>
        </w:rPr>
        <w:t xml:space="preserve"> </w:t>
      </w:r>
      <w:r w:rsidR="00542AFA" w:rsidRPr="00B42F50">
        <w:rPr>
          <w:rFonts w:ascii="Times New Roman" w:hAnsi="Times New Roman"/>
          <w:bCs/>
          <w:szCs w:val="22"/>
        </w:rPr>
        <w:t>The</w:t>
      </w:r>
      <w:r w:rsidR="00D75F8A" w:rsidRPr="00B42F50">
        <w:rPr>
          <w:rFonts w:ascii="Times New Roman" w:hAnsi="Times New Roman"/>
          <w:bCs/>
          <w:szCs w:val="22"/>
        </w:rPr>
        <w:t xml:space="preserve"> </w:t>
      </w:r>
      <w:r w:rsidR="00B42F50" w:rsidRPr="00B42F50">
        <w:rPr>
          <w:rFonts w:ascii="Times New Roman" w:hAnsi="Times New Roman"/>
          <w:bCs/>
          <w:szCs w:val="22"/>
        </w:rPr>
        <w:t>successful v</w:t>
      </w:r>
      <w:r w:rsidR="00AC28AA" w:rsidRPr="00B42F50">
        <w:rPr>
          <w:rFonts w:ascii="Times New Roman" w:hAnsi="Times New Roman"/>
          <w:bCs/>
          <w:szCs w:val="22"/>
        </w:rPr>
        <w:t>endor must allow for</w:t>
      </w:r>
      <w:r w:rsidR="00B42F50" w:rsidRPr="00B42F50">
        <w:rPr>
          <w:rFonts w:ascii="Times New Roman" w:hAnsi="Times New Roman"/>
          <w:bCs/>
          <w:szCs w:val="22"/>
        </w:rPr>
        <w:t xml:space="preserve"> the</w:t>
      </w:r>
      <w:r w:rsidR="00AC28AA" w:rsidRPr="00B42F50">
        <w:rPr>
          <w:rFonts w:ascii="Times New Roman" w:hAnsi="Times New Roman"/>
          <w:bCs/>
          <w:szCs w:val="22"/>
        </w:rPr>
        <w:t xml:space="preserve"> return </w:t>
      </w:r>
      <w:r w:rsidR="00B42F50" w:rsidRPr="00B42F50">
        <w:rPr>
          <w:rFonts w:ascii="Times New Roman" w:hAnsi="Times New Roman"/>
          <w:bCs/>
          <w:szCs w:val="22"/>
        </w:rPr>
        <w:t xml:space="preserve">of </w:t>
      </w:r>
      <w:r w:rsidR="00896A87" w:rsidRPr="00B42F50">
        <w:rPr>
          <w:rFonts w:ascii="Times New Roman" w:hAnsi="Times New Roman"/>
          <w:bCs/>
          <w:szCs w:val="22"/>
        </w:rPr>
        <w:t>unopened</w:t>
      </w:r>
      <w:r w:rsidR="00B42F50" w:rsidRPr="00B42F50">
        <w:rPr>
          <w:rFonts w:ascii="Times New Roman" w:hAnsi="Times New Roman"/>
          <w:bCs/>
          <w:szCs w:val="22"/>
        </w:rPr>
        <w:t xml:space="preserve"> and/or damaged/defective items</w:t>
      </w:r>
      <w:r w:rsidR="00AC28AA" w:rsidRPr="00B42F50">
        <w:rPr>
          <w:rFonts w:ascii="Times New Roman" w:hAnsi="Times New Roman"/>
          <w:bCs/>
          <w:szCs w:val="22"/>
        </w:rPr>
        <w:t xml:space="preserve"> within 30 days of receipt by LDH</w:t>
      </w:r>
      <w:r w:rsidR="00542AFA" w:rsidRPr="00B42F50">
        <w:rPr>
          <w:rFonts w:ascii="Times New Roman" w:hAnsi="Times New Roman"/>
          <w:bCs/>
          <w:szCs w:val="22"/>
        </w:rPr>
        <w:t>/OPH</w:t>
      </w:r>
      <w:r w:rsidR="00AC28AA" w:rsidRPr="00B42F50">
        <w:rPr>
          <w:rFonts w:ascii="Times New Roman" w:hAnsi="Times New Roman"/>
          <w:bCs/>
          <w:szCs w:val="22"/>
        </w:rPr>
        <w:t xml:space="preserve"> at no cost.</w:t>
      </w:r>
    </w:p>
    <w:p w:rsidR="00A26E2E" w:rsidRPr="00B42F50" w:rsidRDefault="00A34928" w:rsidP="00B42F50">
      <w:pPr>
        <w:spacing w:after="0"/>
        <w:ind w:right="86"/>
        <w:rPr>
          <w:rFonts w:ascii="Times New Roman" w:hAnsi="Times New Roman"/>
          <w:bCs/>
          <w:szCs w:val="22"/>
        </w:rPr>
      </w:pPr>
      <w:r w:rsidRPr="00B42F50">
        <w:rPr>
          <w:rFonts w:ascii="Times New Roman" w:hAnsi="Times New Roman"/>
          <w:b/>
          <w:bCs/>
          <w:szCs w:val="22"/>
        </w:rPr>
        <w:tab/>
      </w:r>
      <w:r w:rsidRPr="00B42F50">
        <w:rPr>
          <w:rFonts w:ascii="Times New Roman" w:hAnsi="Times New Roman"/>
          <w:b/>
          <w:bCs/>
          <w:szCs w:val="22"/>
        </w:rPr>
        <w:tab/>
      </w:r>
    </w:p>
    <w:p w:rsidR="00AE071F" w:rsidRPr="00B42F50" w:rsidRDefault="001117B4" w:rsidP="004D3EA4">
      <w:pPr>
        <w:spacing w:after="0"/>
        <w:ind w:left="100" w:right="90"/>
        <w:rPr>
          <w:rFonts w:ascii="Times New Roman" w:hAnsi="Times New Roman"/>
          <w:b/>
          <w:bCs/>
          <w:szCs w:val="22"/>
        </w:rPr>
      </w:pPr>
      <w:r w:rsidRPr="00B42F50">
        <w:rPr>
          <w:rFonts w:ascii="Times New Roman" w:hAnsi="Times New Roman"/>
          <w:b/>
          <w:bCs/>
          <w:szCs w:val="22"/>
        </w:rPr>
        <w:t>DELIVERY LOCATIONS</w:t>
      </w:r>
      <w:r w:rsidR="00E07B2F" w:rsidRPr="00B42F50">
        <w:rPr>
          <w:rFonts w:ascii="Times New Roman" w:hAnsi="Times New Roman"/>
          <w:b/>
          <w:bCs/>
          <w:szCs w:val="22"/>
        </w:rPr>
        <w:t>:</w:t>
      </w:r>
    </w:p>
    <w:p w:rsidR="0046765E" w:rsidRPr="00B42F50" w:rsidRDefault="00542AFA" w:rsidP="004D3EA4">
      <w:pPr>
        <w:spacing w:after="0"/>
        <w:ind w:left="100" w:right="90"/>
        <w:rPr>
          <w:rFonts w:ascii="Times New Roman" w:hAnsi="Times New Roman"/>
          <w:b/>
          <w:bCs/>
          <w:szCs w:val="22"/>
        </w:rPr>
      </w:pPr>
      <w:r w:rsidRPr="00B42F50">
        <w:rPr>
          <w:rFonts w:ascii="Times New Roman" w:hAnsi="Times New Roman"/>
          <w:bCs/>
          <w:szCs w:val="22"/>
        </w:rPr>
        <w:t>The vendor m</w:t>
      </w:r>
      <w:r w:rsidR="0079056F" w:rsidRPr="00B42F50">
        <w:rPr>
          <w:rFonts w:ascii="Times New Roman" w:hAnsi="Times New Roman"/>
          <w:bCs/>
          <w:szCs w:val="22"/>
        </w:rPr>
        <w:t xml:space="preserve">ust provide </w:t>
      </w:r>
      <w:r w:rsidR="004010EB" w:rsidRPr="00B42F50">
        <w:rPr>
          <w:rFonts w:ascii="Times New Roman" w:hAnsi="Times New Roman"/>
          <w:bCs/>
          <w:szCs w:val="22"/>
        </w:rPr>
        <w:t xml:space="preserve">shipments </w:t>
      </w:r>
      <w:r w:rsidR="00A961C8" w:rsidRPr="00B42F50">
        <w:rPr>
          <w:rFonts w:ascii="Times New Roman" w:hAnsi="Times New Roman"/>
          <w:bCs/>
          <w:szCs w:val="22"/>
        </w:rPr>
        <w:t xml:space="preserve">as requested </w:t>
      </w:r>
      <w:r w:rsidRPr="00B42F50">
        <w:rPr>
          <w:rFonts w:ascii="Times New Roman" w:hAnsi="Times New Roman"/>
          <w:bCs/>
          <w:szCs w:val="22"/>
        </w:rPr>
        <w:t>to various state r</w:t>
      </w:r>
      <w:r w:rsidR="004010EB" w:rsidRPr="00B42F50">
        <w:rPr>
          <w:rFonts w:ascii="Times New Roman" w:hAnsi="Times New Roman"/>
          <w:bCs/>
          <w:szCs w:val="22"/>
        </w:rPr>
        <w:t>egions for water testing purposes.</w:t>
      </w:r>
      <w:r w:rsidR="00663243" w:rsidRPr="00B42F50">
        <w:rPr>
          <w:rFonts w:ascii="Times New Roman" w:hAnsi="Times New Roman"/>
          <w:bCs/>
          <w:szCs w:val="22"/>
        </w:rPr>
        <w:t xml:space="preserve"> </w:t>
      </w:r>
      <w:r w:rsidR="00663243" w:rsidRPr="00B42F50">
        <w:rPr>
          <w:rFonts w:ascii="Times New Roman" w:hAnsi="Times New Roman"/>
          <w:b/>
          <w:bCs/>
          <w:szCs w:val="22"/>
        </w:rPr>
        <w:t>LDH</w:t>
      </w:r>
      <w:r w:rsidRPr="00B42F50">
        <w:rPr>
          <w:rFonts w:ascii="Times New Roman" w:hAnsi="Times New Roman"/>
          <w:b/>
          <w:bCs/>
          <w:szCs w:val="22"/>
        </w:rPr>
        <w:t>/OPH</w:t>
      </w:r>
      <w:r w:rsidR="00663243" w:rsidRPr="00B42F50">
        <w:rPr>
          <w:rFonts w:ascii="Times New Roman" w:hAnsi="Times New Roman"/>
          <w:b/>
          <w:bCs/>
          <w:szCs w:val="22"/>
        </w:rPr>
        <w:t xml:space="preserve"> reser</w:t>
      </w:r>
      <w:r w:rsidRPr="00B42F50">
        <w:rPr>
          <w:rFonts w:ascii="Times New Roman" w:hAnsi="Times New Roman"/>
          <w:b/>
          <w:bCs/>
          <w:szCs w:val="22"/>
        </w:rPr>
        <w:t>ves the right to add or delete d</w:t>
      </w:r>
      <w:r w:rsidR="00663243" w:rsidRPr="00B42F50">
        <w:rPr>
          <w:rFonts w:ascii="Times New Roman" w:hAnsi="Times New Roman"/>
          <w:b/>
          <w:bCs/>
          <w:szCs w:val="22"/>
        </w:rPr>
        <w:t xml:space="preserve">elivery </w:t>
      </w:r>
      <w:r w:rsidRPr="00B42F50">
        <w:rPr>
          <w:rFonts w:ascii="Times New Roman" w:hAnsi="Times New Roman"/>
          <w:b/>
          <w:bCs/>
          <w:szCs w:val="22"/>
        </w:rPr>
        <w:t>addresses</w:t>
      </w:r>
      <w:r w:rsidR="00663243" w:rsidRPr="00B42F50">
        <w:rPr>
          <w:rFonts w:ascii="Times New Roman" w:hAnsi="Times New Roman"/>
          <w:b/>
          <w:bCs/>
          <w:szCs w:val="22"/>
        </w:rPr>
        <w:t xml:space="preserve"> as needed.</w:t>
      </w:r>
    </w:p>
    <w:p w:rsidR="00BF13EC" w:rsidRDefault="00BF13EC" w:rsidP="004D3EA4">
      <w:pPr>
        <w:spacing w:after="0"/>
        <w:ind w:left="100" w:right="90"/>
        <w:rPr>
          <w:rFonts w:ascii="Times New Roman" w:hAnsi="Times New Roman"/>
          <w:bCs/>
          <w:sz w:val="22"/>
          <w:szCs w:val="22"/>
        </w:rPr>
      </w:pPr>
    </w:p>
    <w:tbl>
      <w:tblPr>
        <w:tblW w:w="6390" w:type="dxa"/>
        <w:tblLook w:val="04A0" w:firstRow="1" w:lastRow="0" w:firstColumn="1" w:lastColumn="0" w:noHBand="0" w:noVBand="1"/>
      </w:tblPr>
      <w:tblGrid>
        <w:gridCol w:w="1620"/>
        <w:gridCol w:w="4770"/>
      </w:tblGrid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A961C8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61C8">
              <w:rPr>
                <w:rFonts w:ascii="Times New Roman" w:hAnsi="Times New Roman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770" w:type="dxa"/>
            <w:noWrap/>
            <w:hideMark/>
          </w:tcPr>
          <w:p w:rsidR="00D75F8A" w:rsidRPr="00A961C8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961C8">
              <w:rPr>
                <w:rFonts w:ascii="Times New Roman" w:hAnsi="Times New Roman"/>
                <w:b/>
                <w:bCs/>
                <w:sz w:val="22"/>
                <w:szCs w:val="22"/>
              </w:rPr>
              <w:t>SHIP TO ADDRESS</w:t>
            </w:r>
          </w:p>
        </w:tc>
      </w:tr>
      <w:tr w:rsidR="00542AFA" w:rsidRPr="00A961C8" w:rsidTr="002D52C0">
        <w:trPr>
          <w:trHeight w:val="240"/>
        </w:trPr>
        <w:tc>
          <w:tcPr>
            <w:tcW w:w="1620" w:type="dxa"/>
            <w:noWrap/>
          </w:tcPr>
          <w:p w:rsidR="00542AFA" w:rsidRPr="00A961C8" w:rsidRDefault="00542AF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</w:tcPr>
          <w:p w:rsidR="00542AFA" w:rsidRPr="00A961C8" w:rsidRDefault="00542AF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1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Metro Region I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504-599-0100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935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Gravier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St,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Ste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1420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New Orleans, LA 70112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Region 2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Capitol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Region II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225-342-7499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2351 Energy Drive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Baton Rouge, LA 70808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D52C0" w:rsidRPr="00A961C8" w:rsidTr="002D52C0">
        <w:trPr>
          <w:trHeight w:val="240"/>
        </w:trPr>
        <w:tc>
          <w:tcPr>
            <w:tcW w:w="162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Central Office</w:t>
            </w:r>
          </w:p>
        </w:tc>
        <w:tc>
          <w:tcPr>
            <w:tcW w:w="477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Engineering Services Central Office</w:t>
            </w:r>
          </w:p>
        </w:tc>
      </w:tr>
      <w:tr w:rsidR="002D52C0" w:rsidRPr="00A961C8" w:rsidTr="002D52C0">
        <w:trPr>
          <w:trHeight w:val="240"/>
        </w:trPr>
        <w:tc>
          <w:tcPr>
            <w:tcW w:w="162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225-342-7499</w:t>
            </w:r>
          </w:p>
        </w:tc>
        <w:tc>
          <w:tcPr>
            <w:tcW w:w="477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628 North 4</w:t>
            </w:r>
            <w:r w:rsidRPr="002D52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Street</w:t>
            </w:r>
          </w:p>
        </w:tc>
      </w:tr>
      <w:tr w:rsidR="002D52C0" w:rsidRPr="00A961C8" w:rsidTr="002D52C0">
        <w:trPr>
          <w:trHeight w:val="240"/>
        </w:trPr>
        <w:tc>
          <w:tcPr>
            <w:tcW w:w="162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Baton Rouge, LA 70802</w:t>
            </w:r>
          </w:p>
        </w:tc>
      </w:tr>
      <w:tr w:rsidR="002D52C0" w:rsidRPr="00A961C8" w:rsidTr="002D52C0">
        <w:trPr>
          <w:trHeight w:val="240"/>
        </w:trPr>
        <w:tc>
          <w:tcPr>
            <w:tcW w:w="162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</w:tcPr>
          <w:p w:rsidR="002D52C0" w:rsidRPr="00BF13EC" w:rsidRDefault="002D52C0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3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Teche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Region III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985-447-0916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1434 Tiger Drive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Thibodaux, LA 70301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833BF9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4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Southwest Region IV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337-262-1541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825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Kaliste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Saloom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Rd</w:t>
            </w:r>
            <w:r w:rsidR="00542AFA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Brandywine 3 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Lafayette, LA 70508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Region 5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Southwest Region V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337-475-3200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2827 4</w:t>
            </w:r>
            <w:r w:rsidRPr="00B50A9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="00B42F5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Ave </w:t>
            </w:r>
            <w:proofErr w:type="spellStart"/>
            <w:r w:rsidR="00B42F50">
              <w:rPr>
                <w:rFonts w:ascii="Times New Roman" w:hAnsi="Times New Roman"/>
                <w:b/>
                <w:bCs/>
                <w:sz w:val="22"/>
                <w:szCs w:val="22"/>
              </w:rPr>
              <w:t>Ste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Lake Charles, LA 70601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6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Central Region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318-676-7470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5604-B Coliseum Blvd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Alexandria, LA 71303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Region 7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Northwest Region VII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E5732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732C">
              <w:rPr>
                <w:rFonts w:ascii="Times New Roman" w:hAnsi="Times New Roman"/>
                <w:b/>
                <w:bCs/>
                <w:sz w:val="22"/>
                <w:szCs w:val="22"/>
              </w:rPr>
              <w:t>318-676-7470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1035 Creswell Ave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Shreveport, LA 71101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Region 8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Northeast Region VIII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318-361-7201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1650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Desiard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St, 2nd Floor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Monroe, LA 71201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Region 9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Southeast Region IX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C57F1">
              <w:rPr>
                <w:rFonts w:ascii="Times New Roman" w:hAnsi="Times New Roman"/>
                <w:b/>
                <w:bCs/>
                <w:sz w:val="22"/>
                <w:szCs w:val="22"/>
              </w:rPr>
              <w:t>985-543-4950</w:t>
            </w: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Attn: Safe Drinking Water Program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8C57F1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42354 Deluxe Plaza, </w:t>
            </w:r>
            <w:proofErr w:type="spellStart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Ste</w:t>
            </w:r>
            <w:proofErr w:type="spellEnd"/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12</w:t>
            </w:r>
          </w:p>
        </w:tc>
      </w:tr>
      <w:tr w:rsidR="00D75F8A" w:rsidRPr="00A961C8" w:rsidTr="002D52C0">
        <w:trPr>
          <w:trHeight w:val="240"/>
        </w:trPr>
        <w:tc>
          <w:tcPr>
            <w:tcW w:w="162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noWrap/>
            <w:hideMark/>
          </w:tcPr>
          <w:p w:rsidR="00D75F8A" w:rsidRPr="00BF13EC" w:rsidRDefault="00D75F8A" w:rsidP="00BF13EC">
            <w:pPr>
              <w:spacing w:after="0"/>
              <w:ind w:left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13EC">
              <w:rPr>
                <w:rFonts w:ascii="Times New Roman" w:hAnsi="Times New Roman"/>
                <w:b/>
                <w:bCs/>
                <w:sz w:val="22"/>
                <w:szCs w:val="22"/>
              </w:rPr>
              <w:t>Hammond, LA 70403</w:t>
            </w:r>
          </w:p>
        </w:tc>
      </w:tr>
    </w:tbl>
    <w:p w:rsidR="00B55023" w:rsidRDefault="00B55023" w:rsidP="004D3EA4">
      <w:pPr>
        <w:spacing w:after="0"/>
        <w:ind w:left="100" w:right="90"/>
        <w:rPr>
          <w:rFonts w:ascii="Times New Roman" w:hAnsi="Times New Roman"/>
          <w:b/>
          <w:bCs/>
          <w:sz w:val="22"/>
          <w:szCs w:val="22"/>
        </w:rPr>
      </w:pPr>
    </w:p>
    <w:sectPr w:rsidR="00B55023" w:rsidSect="00B42F50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E2" w:rsidRDefault="002044E2" w:rsidP="00A063D4">
      <w:pPr>
        <w:spacing w:after="0"/>
      </w:pPr>
      <w:r>
        <w:separator/>
      </w:r>
    </w:p>
  </w:endnote>
  <w:endnote w:type="continuationSeparator" w:id="0">
    <w:p w:rsidR="002044E2" w:rsidRDefault="002044E2" w:rsidP="00A06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206" w:rsidRPr="00B42F50" w:rsidRDefault="00232206">
    <w:pPr>
      <w:pStyle w:val="Footer"/>
      <w:jc w:val="center"/>
      <w:rPr>
        <w:rFonts w:ascii="Times New Roman" w:hAnsi="Times New Roman"/>
        <w:b/>
        <w:sz w:val="18"/>
        <w:szCs w:val="18"/>
      </w:rPr>
    </w:pPr>
    <w:r w:rsidRPr="00B42F50">
      <w:rPr>
        <w:rFonts w:ascii="Times New Roman" w:hAnsi="Times New Roman"/>
        <w:b/>
        <w:sz w:val="18"/>
        <w:szCs w:val="18"/>
      </w:rPr>
      <w:t xml:space="preserve">Page </w:t>
    </w:r>
    <w:r w:rsidRPr="00B42F50">
      <w:rPr>
        <w:rFonts w:ascii="Times New Roman" w:hAnsi="Times New Roman"/>
        <w:b/>
        <w:sz w:val="18"/>
        <w:szCs w:val="18"/>
      </w:rPr>
      <w:fldChar w:fldCharType="begin"/>
    </w:r>
    <w:r w:rsidRPr="00B42F50">
      <w:rPr>
        <w:rFonts w:ascii="Times New Roman" w:hAnsi="Times New Roman"/>
        <w:b/>
        <w:sz w:val="18"/>
        <w:szCs w:val="18"/>
      </w:rPr>
      <w:instrText xml:space="preserve"> PAGE  \* Arabic  \* MERGEFORMAT </w:instrText>
    </w:r>
    <w:r w:rsidRPr="00B42F50">
      <w:rPr>
        <w:rFonts w:ascii="Times New Roman" w:hAnsi="Times New Roman"/>
        <w:b/>
        <w:sz w:val="18"/>
        <w:szCs w:val="18"/>
      </w:rPr>
      <w:fldChar w:fldCharType="separate"/>
    </w:r>
    <w:r w:rsidR="00F76CF6">
      <w:rPr>
        <w:rFonts w:ascii="Times New Roman" w:hAnsi="Times New Roman"/>
        <w:b/>
        <w:noProof/>
        <w:sz w:val="18"/>
        <w:szCs w:val="18"/>
      </w:rPr>
      <w:t>1</w:t>
    </w:r>
    <w:r w:rsidRPr="00B42F50">
      <w:rPr>
        <w:rFonts w:ascii="Times New Roman" w:hAnsi="Times New Roman"/>
        <w:b/>
        <w:sz w:val="18"/>
        <w:szCs w:val="18"/>
      </w:rPr>
      <w:fldChar w:fldCharType="end"/>
    </w:r>
    <w:r w:rsidRPr="00B42F50">
      <w:rPr>
        <w:rFonts w:ascii="Times New Roman" w:hAnsi="Times New Roman"/>
        <w:b/>
        <w:sz w:val="18"/>
        <w:szCs w:val="18"/>
      </w:rPr>
      <w:t xml:space="preserve"> of </w:t>
    </w:r>
    <w:r w:rsidRPr="00B42F50">
      <w:rPr>
        <w:rFonts w:ascii="Times New Roman" w:hAnsi="Times New Roman"/>
        <w:b/>
        <w:sz w:val="18"/>
        <w:szCs w:val="18"/>
      </w:rPr>
      <w:fldChar w:fldCharType="begin"/>
    </w:r>
    <w:r w:rsidRPr="00B42F50">
      <w:rPr>
        <w:rFonts w:ascii="Times New Roman" w:hAnsi="Times New Roman"/>
        <w:b/>
        <w:sz w:val="18"/>
        <w:szCs w:val="18"/>
      </w:rPr>
      <w:instrText xml:space="preserve"> NUMPAGES  \* Arabic  \* MERGEFORMAT </w:instrText>
    </w:r>
    <w:r w:rsidRPr="00B42F50">
      <w:rPr>
        <w:rFonts w:ascii="Times New Roman" w:hAnsi="Times New Roman"/>
        <w:b/>
        <w:sz w:val="18"/>
        <w:szCs w:val="18"/>
      </w:rPr>
      <w:fldChar w:fldCharType="separate"/>
    </w:r>
    <w:r w:rsidR="00F76CF6">
      <w:rPr>
        <w:rFonts w:ascii="Times New Roman" w:hAnsi="Times New Roman"/>
        <w:b/>
        <w:noProof/>
        <w:sz w:val="18"/>
        <w:szCs w:val="18"/>
      </w:rPr>
      <w:t>2</w:t>
    </w:r>
    <w:r w:rsidRPr="00B42F50">
      <w:rPr>
        <w:rFonts w:ascii="Times New Roman" w:hAnsi="Times New Roman"/>
        <w:b/>
        <w:sz w:val="18"/>
        <w:szCs w:val="18"/>
      </w:rPr>
      <w:fldChar w:fldCharType="end"/>
    </w:r>
  </w:p>
  <w:p w:rsidR="00232206" w:rsidRDefault="00232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D4" w:rsidRPr="00B42F50" w:rsidRDefault="00232206" w:rsidP="00B42F50">
    <w:pPr>
      <w:pStyle w:val="Footer"/>
      <w:jc w:val="center"/>
      <w:rPr>
        <w:rFonts w:ascii="Times New Roman" w:hAnsi="Times New Roman"/>
        <w:b/>
        <w:sz w:val="18"/>
        <w:szCs w:val="18"/>
      </w:rPr>
    </w:pPr>
    <w:r w:rsidRPr="00B42F50">
      <w:rPr>
        <w:rFonts w:ascii="Times New Roman" w:hAnsi="Times New Roman"/>
        <w:b/>
        <w:sz w:val="18"/>
        <w:szCs w:val="18"/>
      </w:rPr>
      <w:t xml:space="preserve">Page </w:t>
    </w:r>
    <w:r w:rsidRPr="00B42F50">
      <w:rPr>
        <w:rFonts w:ascii="Times New Roman" w:hAnsi="Times New Roman"/>
        <w:b/>
        <w:sz w:val="18"/>
        <w:szCs w:val="18"/>
      </w:rPr>
      <w:fldChar w:fldCharType="begin"/>
    </w:r>
    <w:r w:rsidRPr="00B42F50">
      <w:rPr>
        <w:rFonts w:ascii="Times New Roman" w:hAnsi="Times New Roman"/>
        <w:b/>
        <w:sz w:val="18"/>
        <w:szCs w:val="18"/>
      </w:rPr>
      <w:instrText xml:space="preserve"> PAGE  \* Arabic  \* MERGEFORMAT </w:instrText>
    </w:r>
    <w:r w:rsidRPr="00B42F50">
      <w:rPr>
        <w:rFonts w:ascii="Times New Roman" w:hAnsi="Times New Roman"/>
        <w:b/>
        <w:sz w:val="18"/>
        <w:szCs w:val="18"/>
      </w:rPr>
      <w:fldChar w:fldCharType="separate"/>
    </w:r>
    <w:r w:rsidR="00B42F50">
      <w:rPr>
        <w:rFonts w:ascii="Times New Roman" w:hAnsi="Times New Roman"/>
        <w:b/>
        <w:noProof/>
        <w:sz w:val="18"/>
        <w:szCs w:val="18"/>
      </w:rPr>
      <w:t>1</w:t>
    </w:r>
    <w:r w:rsidRPr="00B42F50">
      <w:rPr>
        <w:rFonts w:ascii="Times New Roman" w:hAnsi="Times New Roman"/>
        <w:b/>
        <w:sz w:val="18"/>
        <w:szCs w:val="18"/>
      </w:rPr>
      <w:fldChar w:fldCharType="end"/>
    </w:r>
    <w:r w:rsidRPr="00B42F50">
      <w:rPr>
        <w:rFonts w:ascii="Times New Roman" w:hAnsi="Times New Roman"/>
        <w:b/>
        <w:sz w:val="18"/>
        <w:szCs w:val="18"/>
      </w:rPr>
      <w:t xml:space="preserve"> of </w:t>
    </w:r>
    <w:r w:rsidRPr="00B42F50">
      <w:rPr>
        <w:rFonts w:ascii="Times New Roman" w:hAnsi="Times New Roman"/>
        <w:b/>
        <w:sz w:val="18"/>
        <w:szCs w:val="18"/>
      </w:rPr>
      <w:fldChar w:fldCharType="begin"/>
    </w:r>
    <w:r w:rsidRPr="00B42F50">
      <w:rPr>
        <w:rFonts w:ascii="Times New Roman" w:hAnsi="Times New Roman"/>
        <w:b/>
        <w:sz w:val="18"/>
        <w:szCs w:val="18"/>
      </w:rPr>
      <w:instrText xml:space="preserve"> NUMPAGES  \* Arabic  \* MERGEFORMAT </w:instrText>
    </w:r>
    <w:r w:rsidRPr="00B42F50">
      <w:rPr>
        <w:rFonts w:ascii="Times New Roman" w:hAnsi="Times New Roman"/>
        <w:b/>
        <w:sz w:val="18"/>
        <w:szCs w:val="18"/>
      </w:rPr>
      <w:fldChar w:fldCharType="separate"/>
    </w:r>
    <w:r w:rsidR="00B42F50">
      <w:rPr>
        <w:rFonts w:ascii="Times New Roman" w:hAnsi="Times New Roman"/>
        <w:b/>
        <w:noProof/>
        <w:sz w:val="18"/>
        <w:szCs w:val="18"/>
      </w:rPr>
      <w:t>2</w:t>
    </w:r>
    <w:r w:rsidRPr="00B42F50">
      <w:rPr>
        <w:rFonts w:ascii="Times New Roman" w:hAnsi="Times New Roman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E2" w:rsidRDefault="002044E2" w:rsidP="00A063D4">
      <w:pPr>
        <w:spacing w:after="0"/>
      </w:pPr>
      <w:r>
        <w:separator/>
      </w:r>
    </w:p>
  </w:footnote>
  <w:footnote w:type="continuationSeparator" w:id="0">
    <w:p w:rsidR="002044E2" w:rsidRDefault="002044E2" w:rsidP="00A063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843B9"/>
    <w:multiLevelType w:val="hybridMultilevel"/>
    <w:tmpl w:val="BD08585A"/>
    <w:lvl w:ilvl="0" w:tplc="7AFEFA4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5C621D7"/>
    <w:multiLevelType w:val="hybridMultilevel"/>
    <w:tmpl w:val="FCF4DA1A"/>
    <w:lvl w:ilvl="0" w:tplc="3BB0457C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58"/>
    <w:rsid w:val="000021DC"/>
    <w:rsid w:val="00003E3E"/>
    <w:rsid w:val="000135E7"/>
    <w:rsid w:val="00014735"/>
    <w:rsid w:val="00014918"/>
    <w:rsid w:val="00021D48"/>
    <w:rsid w:val="000B76F1"/>
    <w:rsid w:val="000E2599"/>
    <w:rsid w:val="000F497F"/>
    <w:rsid w:val="000F5E88"/>
    <w:rsid w:val="001117B4"/>
    <w:rsid w:val="00156BB4"/>
    <w:rsid w:val="00163906"/>
    <w:rsid w:val="00172581"/>
    <w:rsid w:val="00172E20"/>
    <w:rsid w:val="00186D9E"/>
    <w:rsid w:val="001B569D"/>
    <w:rsid w:val="001C7921"/>
    <w:rsid w:val="001F7559"/>
    <w:rsid w:val="002044E2"/>
    <w:rsid w:val="0021015F"/>
    <w:rsid w:val="00232206"/>
    <w:rsid w:val="00232BBF"/>
    <w:rsid w:val="002369F8"/>
    <w:rsid w:val="002859A4"/>
    <w:rsid w:val="002D0D94"/>
    <w:rsid w:val="002D52C0"/>
    <w:rsid w:val="00313F16"/>
    <w:rsid w:val="0031486B"/>
    <w:rsid w:val="00326811"/>
    <w:rsid w:val="0033439D"/>
    <w:rsid w:val="00335D25"/>
    <w:rsid w:val="003464A5"/>
    <w:rsid w:val="00366D5C"/>
    <w:rsid w:val="0037233B"/>
    <w:rsid w:val="003A6382"/>
    <w:rsid w:val="003C09CF"/>
    <w:rsid w:val="003C5795"/>
    <w:rsid w:val="003F68FB"/>
    <w:rsid w:val="004010EB"/>
    <w:rsid w:val="00411500"/>
    <w:rsid w:val="00451183"/>
    <w:rsid w:val="0046765E"/>
    <w:rsid w:val="004704FE"/>
    <w:rsid w:val="00472B54"/>
    <w:rsid w:val="00484201"/>
    <w:rsid w:val="004D3EA4"/>
    <w:rsid w:val="004E6532"/>
    <w:rsid w:val="00542AFA"/>
    <w:rsid w:val="00550CAD"/>
    <w:rsid w:val="00560D9D"/>
    <w:rsid w:val="005B3228"/>
    <w:rsid w:val="005B7983"/>
    <w:rsid w:val="005F1B6D"/>
    <w:rsid w:val="00601F7F"/>
    <w:rsid w:val="00614126"/>
    <w:rsid w:val="00624D72"/>
    <w:rsid w:val="00645781"/>
    <w:rsid w:val="00663243"/>
    <w:rsid w:val="00677018"/>
    <w:rsid w:val="00685B9B"/>
    <w:rsid w:val="006A4F24"/>
    <w:rsid w:val="00700C1A"/>
    <w:rsid w:val="00706D57"/>
    <w:rsid w:val="00710858"/>
    <w:rsid w:val="007143E4"/>
    <w:rsid w:val="00714643"/>
    <w:rsid w:val="00714C88"/>
    <w:rsid w:val="007260E2"/>
    <w:rsid w:val="0074211D"/>
    <w:rsid w:val="00765D44"/>
    <w:rsid w:val="00767D30"/>
    <w:rsid w:val="00785BEC"/>
    <w:rsid w:val="0079056F"/>
    <w:rsid w:val="007F7AB9"/>
    <w:rsid w:val="00861384"/>
    <w:rsid w:val="0087261D"/>
    <w:rsid w:val="00873984"/>
    <w:rsid w:val="00883EE7"/>
    <w:rsid w:val="00896A87"/>
    <w:rsid w:val="008B1BD0"/>
    <w:rsid w:val="008F0A5B"/>
    <w:rsid w:val="008F4470"/>
    <w:rsid w:val="00922033"/>
    <w:rsid w:val="00922DCA"/>
    <w:rsid w:val="00924CD2"/>
    <w:rsid w:val="0092674A"/>
    <w:rsid w:val="00932DBE"/>
    <w:rsid w:val="009352E2"/>
    <w:rsid w:val="0094713D"/>
    <w:rsid w:val="009D72DB"/>
    <w:rsid w:val="009F4AD4"/>
    <w:rsid w:val="00A063D4"/>
    <w:rsid w:val="00A2097B"/>
    <w:rsid w:val="00A26E2E"/>
    <w:rsid w:val="00A34928"/>
    <w:rsid w:val="00A841E7"/>
    <w:rsid w:val="00A961C8"/>
    <w:rsid w:val="00AA048B"/>
    <w:rsid w:val="00AC28AA"/>
    <w:rsid w:val="00AC330E"/>
    <w:rsid w:val="00AC3A84"/>
    <w:rsid w:val="00AE071F"/>
    <w:rsid w:val="00B26665"/>
    <w:rsid w:val="00B36088"/>
    <w:rsid w:val="00B42F50"/>
    <w:rsid w:val="00B50A91"/>
    <w:rsid w:val="00B55023"/>
    <w:rsid w:val="00B81C3B"/>
    <w:rsid w:val="00BA6114"/>
    <w:rsid w:val="00BC1C6E"/>
    <w:rsid w:val="00BE580F"/>
    <w:rsid w:val="00BE59C8"/>
    <w:rsid w:val="00BF13EC"/>
    <w:rsid w:val="00BF25B6"/>
    <w:rsid w:val="00C03B7F"/>
    <w:rsid w:val="00C15FF4"/>
    <w:rsid w:val="00C25768"/>
    <w:rsid w:val="00C74509"/>
    <w:rsid w:val="00CC5861"/>
    <w:rsid w:val="00D229E5"/>
    <w:rsid w:val="00D63587"/>
    <w:rsid w:val="00D75B56"/>
    <w:rsid w:val="00D75F8A"/>
    <w:rsid w:val="00D972DE"/>
    <w:rsid w:val="00DC0EB2"/>
    <w:rsid w:val="00DC758B"/>
    <w:rsid w:val="00DE2D6D"/>
    <w:rsid w:val="00E07B2F"/>
    <w:rsid w:val="00E14FB0"/>
    <w:rsid w:val="00E22D1F"/>
    <w:rsid w:val="00E44CBB"/>
    <w:rsid w:val="00E6233F"/>
    <w:rsid w:val="00E74E0D"/>
    <w:rsid w:val="00E90093"/>
    <w:rsid w:val="00EA0F3F"/>
    <w:rsid w:val="00EA708A"/>
    <w:rsid w:val="00EB2CD0"/>
    <w:rsid w:val="00F01F87"/>
    <w:rsid w:val="00F54B43"/>
    <w:rsid w:val="00F57CCA"/>
    <w:rsid w:val="00F636FD"/>
    <w:rsid w:val="00F76CF6"/>
    <w:rsid w:val="00F86A50"/>
    <w:rsid w:val="00FD1F5F"/>
    <w:rsid w:val="00FF0586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2D196BC"/>
  <w15:chartTrackingRefBased/>
  <w15:docId w15:val="{F027BCD9-E8B3-4460-96FA-C341AB4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58"/>
    <w:pPr>
      <w:spacing w:after="240" w:line="240" w:lineRule="auto"/>
      <w:ind w:left="101"/>
      <w:jc w:val="both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858"/>
    <w:pPr>
      <w:widowControl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42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C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CA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63D4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63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3D4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3AC1-5222-4C06-AE9E-D7A8BAE7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Rhody</dc:creator>
  <cp:keywords/>
  <dc:description/>
  <cp:lastModifiedBy>Alexsandra Jackson</cp:lastModifiedBy>
  <cp:revision>7</cp:revision>
  <cp:lastPrinted>2022-02-24T20:25:00Z</cp:lastPrinted>
  <dcterms:created xsi:type="dcterms:W3CDTF">2025-12-16T15:23:00Z</dcterms:created>
  <dcterms:modified xsi:type="dcterms:W3CDTF">2026-01-05T19:05:00Z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de7efbc7-d8b2-4028-bd70-64325c268e59</vt:lpwstr>
  </property>
</Properties>
</file>