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A64A7"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65845B78"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21B5EDBA"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5B6DB7F5" w14:textId="77777777" w:rsidR="00BD7114" w:rsidRDefault="00BD7114" w:rsidP="008E7953">
      <w:pPr>
        <w:spacing w:after="0"/>
        <w:jc w:val="center"/>
      </w:pPr>
    </w:p>
    <w:p w14:paraId="1B372579"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2DA542EA"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3804C813"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A7C5C2B"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7FE89A3C"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002ADC1D" wp14:editId="074AF7CA">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1971EDFB" w14:textId="77777777" w:rsidR="008E7953" w:rsidRDefault="008E7953" w:rsidP="008E7953">
      <w:pPr>
        <w:jc w:val="center"/>
        <w:rPr>
          <w:rFonts w:ascii="Public Sans Light" w:hAnsi="Public Sans Light"/>
          <w:sz w:val="16"/>
          <w:szCs w:val="16"/>
        </w:rPr>
      </w:pPr>
    </w:p>
    <w:p w14:paraId="42C3652A" w14:textId="77777777" w:rsidR="008E7953" w:rsidRDefault="008E7953" w:rsidP="008E7953">
      <w:pPr>
        <w:jc w:val="center"/>
        <w:rPr>
          <w:rFonts w:ascii="Public Sans Light" w:hAnsi="Public Sans Light"/>
          <w:sz w:val="16"/>
          <w:szCs w:val="16"/>
        </w:rPr>
      </w:pPr>
    </w:p>
    <w:p w14:paraId="5D0CD1D3" w14:textId="77777777" w:rsidR="008E7953" w:rsidRDefault="008E7953" w:rsidP="008E7953">
      <w:pPr>
        <w:jc w:val="center"/>
        <w:rPr>
          <w:rFonts w:ascii="Public Sans Light" w:hAnsi="Public Sans Light"/>
          <w:sz w:val="16"/>
          <w:szCs w:val="16"/>
        </w:rPr>
      </w:pPr>
    </w:p>
    <w:p w14:paraId="4FDA7620" w14:textId="77777777" w:rsidR="008E7953" w:rsidRDefault="008E7953" w:rsidP="008E7953">
      <w:pPr>
        <w:spacing w:after="0"/>
        <w:ind w:left="-360" w:right="-330"/>
        <w:jc w:val="center"/>
        <w:rPr>
          <w:rFonts w:ascii="Public Sans Light" w:hAnsi="Public Sans Light"/>
          <w:b/>
          <w:bCs/>
          <w:sz w:val="20"/>
          <w:szCs w:val="20"/>
        </w:rPr>
      </w:pPr>
    </w:p>
    <w:p w14:paraId="0AF287BD"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154E1689"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6FC33413"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2EB1A07C"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6F6677F5"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4914D3B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3F0AC190" w14:textId="77777777" w:rsidR="008E7953" w:rsidRDefault="008E7953" w:rsidP="008E7953"/>
    <w:p w14:paraId="7E553D68" w14:textId="77777777" w:rsidR="001A78ED" w:rsidRPr="009D2E1E" w:rsidRDefault="001A78ED" w:rsidP="001A78ED">
      <w:pPr>
        <w:widowControl w:val="0"/>
        <w:spacing w:before="177" w:after="0"/>
        <w:ind w:right="699"/>
        <w:jc w:val="center"/>
        <w:rPr>
          <w:rFonts w:eastAsia="Times New Roman"/>
          <w:szCs w:val="24"/>
        </w:rPr>
      </w:pPr>
      <w:r>
        <w:rPr>
          <w:rFonts w:eastAsia="Times New Roman"/>
          <w:szCs w:val="24"/>
        </w:rPr>
        <w:t>December 15, 2025</w:t>
      </w:r>
    </w:p>
    <w:p w14:paraId="2721B41F" w14:textId="77777777" w:rsidR="001A78ED" w:rsidRPr="009D2E1E" w:rsidRDefault="001A78ED" w:rsidP="001A78ED">
      <w:pPr>
        <w:widowControl w:val="0"/>
        <w:spacing w:before="10" w:after="0"/>
        <w:rPr>
          <w:rFonts w:eastAsia="Times New Roman"/>
          <w:szCs w:val="24"/>
        </w:rPr>
      </w:pPr>
    </w:p>
    <w:p w14:paraId="5307CE1F" w14:textId="77777777" w:rsidR="001A78ED" w:rsidRPr="00C85B70" w:rsidRDefault="001A78ED" w:rsidP="001A78ED">
      <w:pPr>
        <w:widowControl w:val="0"/>
        <w:spacing w:after="0"/>
        <w:ind w:left="3305"/>
        <w:outlineLvl w:val="0"/>
        <w:rPr>
          <w:rFonts w:eastAsia="Times New Roman"/>
          <w:szCs w:val="24"/>
        </w:rPr>
      </w:pPr>
      <w:bookmarkStart w:id="0" w:name="ADDENDUM_NO._01"/>
      <w:bookmarkEnd w:id="0"/>
      <w:r w:rsidRPr="009D2E1E">
        <w:rPr>
          <w:rFonts w:eastAsia="Times New Roman"/>
          <w:b/>
          <w:bCs/>
          <w:spacing w:val="-1"/>
          <w:szCs w:val="24"/>
        </w:rPr>
        <w:t>ADDENDUM NO.</w:t>
      </w:r>
      <w:r w:rsidRPr="009D2E1E">
        <w:rPr>
          <w:rFonts w:eastAsia="Times New Roman"/>
          <w:b/>
          <w:bCs/>
          <w:szCs w:val="24"/>
        </w:rPr>
        <w:t xml:space="preserve"> </w:t>
      </w:r>
      <w:r>
        <w:rPr>
          <w:rFonts w:eastAsia="Times New Roman"/>
          <w:b/>
          <w:bCs/>
          <w:spacing w:val="-2"/>
          <w:szCs w:val="24"/>
        </w:rPr>
        <w:t>01</w:t>
      </w:r>
    </w:p>
    <w:p w14:paraId="6D7B5253" w14:textId="77777777" w:rsidR="001A78ED" w:rsidRDefault="001A78ED" w:rsidP="001A78ED">
      <w:pPr>
        <w:spacing w:after="0"/>
      </w:pPr>
    </w:p>
    <w:p w14:paraId="2F123CE7" w14:textId="77777777" w:rsidR="001A78ED" w:rsidRDefault="001A78ED" w:rsidP="001A78ED">
      <w:pPr>
        <w:spacing w:after="0"/>
        <w:rPr>
          <w:szCs w:val="24"/>
        </w:rPr>
      </w:pPr>
      <w:r w:rsidRPr="00C85B70">
        <w:rPr>
          <w:szCs w:val="24"/>
        </w:rPr>
        <w:t>Your reference is directed to RFx Number 300002</w:t>
      </w:r>
      <w:r>
        <w:rPr>
          <w:szCs w:val="24"/>
        </w:rPr>
        <w:t>5545</w:t>
      </w:r>
      <w:r w:rsidRPr="00C85B70">
        <w:rPr>
          <w:szCs w:val="24"/>
        </w:rPr>
        <w:t xml:space="preserve"> for the Invitation to Bid</w:t>
      </w:r>
      <w:r>
        <w:rPr>
          <w:szCs w:val="24"/>
        </w:rPr>
        <w:t xml:space="preserve"> (ITB)</w:t>
      </w:r>
      <w:r w:rsidRPr="00C85B70">
        <w:rPr>
          <w:szCs w:val="24"/>
        </w:rPr>
        <w:t xml:space="preserve"> for the State of Louisiana</w:t>
      </w:r>
      <w:r>
        <w:rPr>
          <w:szCs w:val="24"/>
        </w:rPr>
        <w:t xml:space="preserve"> Generators Towable and Stationary - Statewide</w:t>
      </w:r>
      <w:r w:rsidRPr="00C85B70">
        <w:rPr>
          <w:szCs w:val="24"/>
        </w:rPr>
        <w:t>, which is currently scheduled to</w:t>
      </w:r>
      <w:r>
        <w:rPr>
          <w:szCs w:val="24"/>
        </w:rPr>
        <w:t xml:space="preserve"> open at 10:00 AM CT on December 29</w:t>
      </w:r>
      <w:r w:rsidRPr="00C85B70">
        <w:rPr>
          <w:szCs w:val="24"/>
        </w:rPr>
        <w:t>, 2025.</w:t>
      </w:r>
    </w:p>
    <w:p w14:paraId="69B74268" w14:textId="77777777" w:rsidR="001A78ED" w:rsidRPr="00C85B70" w:rsidRDefault="001A78ED" w:rsidP="001A78ED">
      <w:pPr>
        <w:spacing w:after="0"/>
        <w:rPr>
          <w:szCs w:val="24"/>
        </w:rPr>
      </w:pPr>
    </w:p>
    <w:p w14:paraId="367B7D7A" w14:textId="77777777" w:rsidR="001A78ED" w:rsidRPr="009C7C7F" w:rsidRDefault="001A78ED" w:rsidP="001A78ED">
      <w:pPr>
        <w:spacing w:after="0"/>
        <w:jc w:val="both"/>
        <w:rPr>
          <w:rFonts w:eastAsia="Times New Roman"/>
          <w:szCs w:val="24"/>
        </w:rPr>
      </w:pPr>
      <w:r w:rsidRPr="009C7C7F">
        <w:rPr>
          <w:rFonts w:eastAsia="Times New Roman"/>
          <w:szCs w:val="24"/>
        </w:rPr>
        <w:t>******************************************************************************</w:t>
      </w:r>
    </w:p>
    <w:p w14:paraId="3A89882A" w14:textId="77777777" w:rsidR="001A78ED" w:rsidRDefault="001A78ED" w:rsidP="001A78ED">
      <w:pPr>
        <w:spacing w:after="0"/>
        <w:jc w:val="both"/>
        <w:rPr>
          <w:rFonts w:eastAsia="Times New Roman"/>
          <w:b/>
          <w:szCs w:val="24"/>
        </w:rPr>
      </w:pPr>
      <w:r>
        <w:rPr>
          <w:rFonts w:eastAsia="Times New Roman"/>
          <w:b/>
          <w:szCs w:val="24"/>
        </w:rPr>
        <w:t>The following are the Vendor’s Inquiries received by the deadline date of December 8, 2025 and the State’s Responses:</w:t>
      </w:r>
    </w:p>
    <w:p w14:paraId="49397ABD" w14:textId="77777777" w:rsidR="001A78ED" w:rsidRPr="00C85B70" w:rsidRDefault="001A78ED" w:rsidP="001A78ED">
      <w:pPr>
        <w:spacing w:after="0"/>
        <w:rPr>
          <w:b/>
          <w:szCs w:val="24"/>
        </w:rPr>
      </w:pPr>
      <w:r w:rsidRPr="00C85B70">
        <w:rPr>
          <w:b/>
          <w:szCs w:val="24"/>
        </w:rPr>
        <w:t xml:space="preserve"> </w:t>
      </w:r>
    </w:p>
    <w:p w14:paraId="3D268970" w14:textId="77777777" w:rsidR="001A78ED" w:rsidRPr="002A221C" w:rsidRDefault="001A78ED" w:rsidP="001A78ED">
      <w:pPr>
        <w:autoSpaceDE w:val="0"/>
        <w:autoSpaceDN w:val="0"/>
        <w:adjustRightInd w:val="0"/>
        <w:spacing w:after="0"/>
        <w:rPr>
          <w:szCs w:val="24"/>
        </w:rPr>
      </w:pPr>
      <w:r w:rsidRPr="002A221C">
        <w:rPr>
          <w:b/>
          <w:bCs/>
          <w:szCs w:val="24"/>
        </w:rPr>
        <w:t xml:space="preserve">Vendor’s Inquiry #1: </w:t>
      </w:r>
      <w:r w:rsidRPr="002A221C">
        <w:rPr>
          <w:szCs w:val="24"/>
        </w:rPr>
        <w:t>Would a certified factory load bank test, with documented results, be acceptable? (as opposed to a load bank test at every site)</w:t>
      </w:r>
    </w:p>
    <w:p w14:paraId="0A73734B" w14:textId="77777777" w:rsidR="001A78ED" w:rsidRPr="002A221C" w:rsidRDefault="001A78ED" w:rsidP="001A78ED">
      <w:pPr>
        <w:autoSpaceDE w:val="0"/>
        <w:autoSpaceDN w:val="0"/>
        <w:adjustRightInd w:val="0"/>
        <w:spacing w:after="0"/>
        <w:rPr>
          <w:szCs w:val="24"/>
        </w:rPr>
      </w:pPr>
    </w:p>
    <w:p w14:paraId="0A1AC36A" w14:textId="77777777" w:rsidR="001A78ED" w:rsidRPr="002A221C" w:rsidRDefault="001A78ED" w:rsidP="001A78ED">
      <w:pPr>
        <w:autoSpaceDE w:val="0"/>
        <w:autoSpaceDN w:val="0"/>
        <w:adjustRightInd w:val="0"/>
        <w:spacing w:after="0"/>
        <w:rPr>
          <w:szCs w:val="24"/>
        </w:rPr>
      </w:pPr>
      <w:r w:rsidRPr="002A221C">
        <w:rPr>
          <w:szCs w:val="24"/>
        </w:rPr>
        <w:t>a. As the generator manufacturer, we have the proper equipment onsite to perform the</w:t>
      </w:r>
    </w:p>
    <w:p w14:paraId="3FC771B4" w14:textId="77777777" w:rsidR="001A78ED" w:rsidRPr="002A221C" w:rsidRDefault="001A78ED" w:rsidP="001A78ED">
      <w:pPr>
        <w:autoSpaceDE w:val="0"/>
        <w:autoSpaceDN w:val="0"/>
        <w:adjustRightInd w:val="0"/>
        <w:spacing w:after="0"/>
        <w:rPr>
          <w:szCs w:val="24"/>
        </w:rPr>
      </w:pPr>
      <w:r w:rsidRPr="002A221C">
        <w:rPr>
          <w:szCs w:val="24"/>
        </w:rPr>
        <w:t>required load bank tests, as described in the BID documents.</w:t>
      </w:r>
    </w:p>
    <w:p w14:paraId="6161E912" w14:textId="77777777" w:rsidR="001A78ED" w:rsidRPr="002A221C" w:rsidRDefault="001A78ED" w:rsidP="001A78ED">
      <w:pPr>
        <w:autoSpaceDE w:val="0"/>
        <w:autoSpaceDN w:val="0"/>
        <w:adjustRightInd w:val="0"/>
        <w:spacing w:after="0"/>
        <w:rPr>
          <w:szCs w:val="24"/>
        </w:rPr>
      </w:pPr>
    </w:p>
    <w:p w14:paraId="043739D9" w14:textId="77777777" w:rsidR="001A78ED" w:rsidRPr="002A221C" w:rsidRDefault="001A78ED" w:rsidP="001A78ED">
      <w:pPr>
        <w:autoSpaceDE w:val="0"/>
        <w:autoSpaceDN w:val="0"/>
        <w:adjustRightInd w:val="0"/>
        <w:spacing w:after="0"/>
        <w:rPr>
          <w:szCs w:val="24"/>
        </w:rPr>
      </w:pPr>
      <w:r w:rsidRPr="002A221C">
        <w:rPr>
          <w:szCs w:val="24"/>
        </w:rPr>
        <w:t>b. During the startup and commissioning of each unit, we still do a transfer test and</w:t>
      </w:r>
    </w:p>
    <w:p w14:paraId="55B2F94C" w14:textId="77777777" w:rsidR="001A78ED" w:rsidRPr="002A221C" w:rsidRDefault="001A78ED" w:rsidP="001A78ED">
      <w:pPr>
        <w:autoSpaceDE w:val="0"/>
        <w:autoSpaceDN w:val="0"/>
        <w:adjustRightInd w:val="0"/>
        <w:spacing w:after="0"/>
        <w:rPr>
          <w:szCs w:val="24"/>
        </w:rPr>
      </w:pPr>
      <w:r w:rsidRPr="002A221C">
        <w:rPr>
          <w:szCs w:val="24"/>
        </w:rPr>
        <w:t>building load test (this is what’s important – to make sure the selected generator can</w:t>
      </w:r>
    </w:p>
    <w:p w14:paraId="4E12ACAE" w14:textId="77777777" w:rsidR="001A78ED" w:rsidRPr="002A221C" w:rsidRDefault="001A78ED" w:rsidP="001A78ED">
      <w:pPr>
        <w:autoSpaceDE w:val="0"/>
        <w:autoSpaceDN w:val="0"/>
        <w:adjustRightInd w:val="0"/>
        <w:spacing w:after="0"/>
        <w:rPr>
          <w:szCs w:val="24"/>
        </w:rPr>
      </w:pPr>
      <w:r w:rsidRPr="002A221C">
        <w:rPr>
          <w:szCs w:val="24"/>
        </w:rPr>
        <w:t>carry the desired load and performs as designed)</w:t>
      </w:r>
    </w:p>
    <w:p w14:paraId="3D776168" w14:textId="77777777" w:rsidR="001A78ED" w:rsidRPr="002A221C" w:rsidRDefault="001A78ED" w:rsidP="001A78ED">
      <w:pPr>
        <w:autoSpaceDE w:val="0"/>
        <w:autoSpaceDN w:val="0"/>
        <w:adjustRightInd w:val="0"/>
        <w:spacing w:after="0"/>
        <w:rPr>
          <w:szCs w:val="24"/>
        </w:rPr>
      </w:pPr>
    </w:p>
    <w:p w14:paraId="27E0B696" w14:textId="77777777" w:rsidR="001A78ED" w:rsidRPr="002A221C" w:rsidRDefault="001A78ED" w:rsidP="001A78ED">
      <w:pPr>
        <w:autoSpaceDE w:val="0"/>
        <w:autoSpaceDN w:val="0"/>
        <w:adjustRightInd w:val="0"/>
        <w:spacing w:after="0"/>
        <w:rPr>
          <w:szCs w:val="24"/>
        </w:rPr>
      </w:pPr>
      <w:r w:rsidRPr="002A221C">
        <w:rPr>
          <w:szCs w:val="24"/>
        </w:rPr>
        <w:t xml:space="preserve">c. There is a </w:t>
      </w:r>
      <w:r w:rsidRPr="003A2CEC">
        <w:rPr>
          <w:szCs w:val="24"/>
          <w:u w:val="single"/>
        </w:rPr>
        <w:t>substantial</w:t>
      </w:r>
      <w:r w:rsidRPr="002A221C">
        <w:rPr>
          <w:szCs w:val="24"/>
        </w:rPr>
        <w:t xml:space="preserve"> cost saving to the State of Louisiana by not having load bank</w:t>
      </w:r>
    </w:p>
    <w:p w14:paraId="72C9703B" w14:textId="77777777" w:rsidR="001A78ED" w:rsidRPr="002A221C" w:rsidRDefault="001A78ED" w:rsidP="001A78ED">
      <w:pPr>
        <w:rPr>
          <w:szCs w:val="24"/>
        </w:rPr>
      </w:pPr>
      <w:r w:rsidRPr="002A221C">
        <w:rPr>
          <w:szCs w:val="24"/>
        </w:rPr>
        <w:t>equipment and cables shipped and set up at every site, for testing purposes only.</w:t>
      </w:r>
    </w:p>
    <w:p w14:paraId="161F7DD4" w14:textId="1DB028B5" w:rsidR="001A78ED" w:rsidRPr="003A2CEC" w:rsidRDefault="001A78ED" w:rsidP="001A78ED">
      <w:pPr>
        <w:pStyle w:val="ListParagraph"/>
        <w:numPr>
          <w:ilvl w:val="0"/>
          <w:numId w:val="1"/>
        </w:numPr>
        <w:spacing w:after="120"/>
        <w:rPr>
          <w:b/>
          <w:bCs/>
          <w:szCs w:val="24"/>
        </w:rPr>
      </w:pPr>
      <w:r w:rsidRPr="003A2CEC">
        <w:rPr>
          <w:rFonts w:eastAsia="Times New Roman"/>
          <w:b/>
          <w:bCs/>
          <w:szCs w:val="24"/>
        </w:rPr>
        <w:t>State’s Response #1:</w:t>
      </w:r>
      <w:r w:rsidRPr="003A2CEC">
        <w:rPr>
          <w:rFonts w:eastAsia="Times New Roman"/>
          <w:szCs w:val="24"/>
        </w:rPr>
        <w:t xml:space="preserve"> According to Attachment B</w:t>
      </w:r>
      <w:r w:rsidR="003A2CEC">
        <w:rPr>
          <w:rFonts w:eastAsia="Times New Roman"/>
          <w:szCs w:val="24"/>
        </w:rPr>
        <w:t xml:space="preserve"> Generator Specifications</w:t>
      </w:r>
      <w:r w:rsidRPr="003A2CEC">
        <w:rPr>
          <w:rFonts w:eastAsia="Times New Roman"/>
          <w:szCs w:val="24"/>
        </w:rPr>
        <w:t>,</w:t>
      </w:r>
      <w:r w:rsidR="003A2CEC">
        <w:rPr>
          <w:rFonts w:eastAsia="Times New Roman"/>
          <w:szCs w:val="24"/>
        </w:rPr>
        <w:t xml:space="preserve"> page 7,</w:t>
      </w:r>
      <w:r w:rsidRPr="003A2CEC">
        <w:rPr>
          <w:rFonts w:eastAsia="Times New Roman"/>
          <w:szCs w:val="24"/>
        </w:rPr>
        <w:t xml:space="preserve"> Load Bank Testing</w:t>
      </w:r>
      <w:r w:rsidR="003A2CEC">
        <w:rPr>
          <w:rFonts w:eastAsia="Times New Roman"/>
          <w:b/>
          <w:bCs/>
          <w:szCs w:val="24"/>
        </w:rPr>
        <w:t xml:space="preserve">: </w:t>
      </w:r>
      <w:r w:rsidR="003A2CEC" w:rsidRPr="004D3927">
        <w:rPr>
          <w:rFonts w:eastAsia="Times New Roman"/>
          <w:szCs w:val="24"/>
        </w:rPr>
        <w:t xml:space="preserve">At the time of initial startup and check-out of the standby power system by the supplier, they shall furnish </w:t>
      </w:r>
      <w:r w:rsidR="004D3927" w:rsidRPr="004D3927">
        <w:rPr>
          <w:rFonts w:eastAsia="Times New Roman"/>
          <w:szCs w:val="24"/>
        </w:rPr>
        <w:t>load banks as required, with the operator to perform the duties listed on pg.7. The specifications will remain as written.</w:t>
      </w:r>
      <w:r w:rsidR="004D3927">
        <w:rPr>
          <w:rFonts w:eastAsia="Times New Roman"/>
          <w:b/>
          <w:bCs/>
          <w:szCs w:val="24"/>
        </w:rPr>
        <w:t xml:space="preserve"> </w:t>
      </w:r>
      <w:r w:rsidR="003A2CEC">
        <w:rPr>
          <w:rFonts w:eastAsia="Times New Roman"/>
          <w:b/>
          <w:bCs/>
          <w:szCs w:val="24"/>
        </w:rPr>
        <w:t xml:space="preserve"> </w:t>
      </w:r>
    </w:p>
    <w:p w14:paraId="512AD953" w14:textId="77777777" w:rsidR="001A78ED" w:rsidRPr="002A221C" w:rsidRDefault="001A78ED" w:rsidP="001A78ED">
      <w:pPr>
        <w:autoSpaceDE w:val="0"/>
        <w:autoSpaceDN w:val="0"/>
        <w:adjustRightInd w:val="0"/>
        <w:spacing w:after="0"/>
        <w:rPr>
          <w:szCs w:val="24"/>
        </w:rPr>
      </w:pPr>
      <w:r w:rsidRPr="00974EFE">
        <w:rPr>
          <w:b/>
          <w:bCs/>
          <w:szCs w:val="24"/>
        </w:rPr>
        <w:t>Vendor</w:t>
      </w:r>
      <w:r>
        <w:rPr>
          <w:b/>
          <w:bCs/>
          <w:szCs w:val="24"/>
        </w:rPr>
        <w:t>’s</w:t>
      </w:r>
      <w:r w:rsidRPr="00974EFE">
        <w:rPr>
          <w:b/>
          <w:bCs/>
          <w:szCs w:val="24"/>
        </w:rPr>
        <w:t xml:space="preserve"> </w:t>
      </w:r>
      <w:r>
        <w:rPr>
          <w:b/>
          <w:bCs/>
          <w:szCs w:val="24"/>
        </w:rPr>
        <w:t>Inquiry #2</w:t>
      </w:r>
      <w:r w:rsidRPr="00974EFE">
        <w:rPr>
          <w:b/>
          <w:bCs/>
          <w:szCs w:val="24"/>
        </w:rPr>
        <w:t>:</w:t>
      </w:r>
      <w:r>
        <w:rPr>
          <w:b/>
          <w:bCs/>
          <w:szCs w:val="24"/>
        </w:rPr>
        <w:t xml:space="preserve"> </w:t>
      </w:r>
      <w:r w:rsidRPr="002A221C">
        <w:rPr>
          <w:szCs w:val="24"/>
        </w:rPr>
        <w:t>For the purpose of calculating freight charges, please confirm ship to locations for each generator and ATS.</w:t>
      </w:r>
    </w:p>
    <w:p w14:paraId="73E01E8A" w14:textId="77777777" w:rsidR="001A78ED" w:rsidRPr="002A221C" w:rsidRDefault="001A78ED" w:rsidP="001A78ED">
      <w:pPr>
        <w:autoSpaceDE w:val="0"/>
        <w:autoSpaceDN w:val="0"/>
        <w:adjustRightInd w:val="0"/>
        <w:spacing w:after="0"/>
        <w:rPr>
          <w:szCs w:val="24"/>
        </w:rPr>
      </w:pPr>
    </w:p>
    <w:p w14:paraId="780088B8" w14:textId="71BBF906" w:rsidR="001A78ED" w:rsidRPr="00CE7521" w:rsidRDefault="001A78ED" w:rsidP="001A78ED">
      <w:pPr>
        <w:pStyle w:val="ListParagraph"/>
        <w:numPr>
          <w:ilvl w:val="0"/>
          <w:numId w:val="1"/>
        </w:numPr>
        <w:spacing w:after="120"/>
        <w:rPr>
          <w:rFonts w:eastAsia="Times New Roman"/>
          <w:szCs w:val="24"/>
        </w:rPr>
      </w:pPr>
      <w:r w:rsidRPr="00CE7521">
        <w:rPr>
          <w:rFonts w:eastAsia="Times New Roman"/>
          <w:b/>
          <w:bCs/>
          <w:szCs w:val="24"/>
        </w:rPr>
        <w:t>State’s Response #2:</w:t>
      </w:r>
      <w:r w:rsidRPr="00CE7521">
        <w:rPr>
          <w:rFonts w:eastAsia="Times New Roman"/>
          <w:szCs w:val="24"/>
        </w:rPr>
        <w:t xml:space="preserve"> </w:t>
      </w:r>
      <w:r w:rsidR="003A2CEC">
        <w:rPr>
          <w:rFonts w:eastAsia="Times New Roman"/>
          <w:szCs w:val="24"/>
        </w:rPr>
        <w:t xml:space="preserve">The ship to locations are unknown at this time. As stated in Attachment A – Special Terms and Conditions, page 5, Orders </w:t>
      </w:r>
      <w:r w:rsidR="004D3927">
        <w:rPr>
          <w:rFonts w:eastAsia="Times New Roman"/>
          <w:szCs w:val="24"/>
        </w:rPr>
        <w:t>A</w:t>
      </w:r>
      <w:r w:rsidR="003A2CEC">
        <w:rPr>
          <w:rFonts w:eastAsia="Times New Roman"/>
          <w:szCs w:val="24"/>
        </w:rPr>
        <w:t xml:space="preserve">ll State Agencies are to issue contract purchase orders for the items required, as and when needed. </w:t>
      </w:r>
    </w:p>
    <w:p w14:paraId="4789ECF6" w14:textId="3C1B9986" w:rsidR="001A78ED" w:rsidRDefault="001A78ED" w:rsidP="001A78ED">
      <w:pPr>
        <w:spacing w:after="0"/>
      </w:pPr>
      <w:r>
        <w:lastRenderedPageBreak/>
        <w:t>******************************************************************************</w:t>
      </w:r>
    </w:p>
    <w:p w14:paraId="1154656C" w14:textId="77777777" w:rsidR="001A78ED" w:rsidRDefault="001A78ED" w:rsidP="001A78ED">
      <w:pPr>
        <w:spacing w:after="0"/>
        <w:rPr>
          <w:szCs w:val="24"/>
        </w:rPr>
      </w:pPr>
    </w:p>
    <w:p w14:paraId="6DC3A1B8" w14:textId="77777777" w:rsidR="001A78ED" w:rsidRPr="007941A7" w:rsidRDefault="001A78ED" w:rsidP="001A78ED">
      <w:pPr>
        <w:spacing w:after="0"/>
        <w:rPr>
          <w:szCs w:val="24"/>
        </w:rPr>
      </w:pPr>
      <w:r w:rsidRPr="007941A7">
        <w:rPr>
          <w:szCs w:val="24"/>
        </w:rPr>
        <w:t>All else remains as on original bid.</w:t>
      </w:r>
    </w:p>
    <w:p w14:paraId="0520069C" w14:textId="77777777" w:rsidR="001A78ED" w:rsidRDefault="001A78ED" w:rsidP="001A78ED">
      <w:pPr>
        <w:spacing w:after="0"/>
        <w:rPr>
          <w:szCs w:val="24"/>
        </w:rPr>
      </w:pPr>
    </w:p>
    <w:p w14:paraId="38AA3E67" w14:textId="77777777" w:rsidR="001A78ED" w:rsidRPr="007941A7" w:rsidRDefault="001A78ED" w:rsidP="001A78ED">
      <w:pPr>
        <w:spacing w:after="0"/>
        <w:rPr>
          <w:szCs w:val="24"/>
        </w:rPr>
      </w:pPr>
      <w:r w:rsidRPr="007941A7">
        <w:rPr>
          <w:szCs w:val="24"/>
        </w:rPr>
        <w:t>******************************************************************************</w:t>
      </w:r>
    </w:p>
    <w:p w14:paraId="7628C3F1" w14:textId="77777777" w:rsidR="001A78ED" w:rsidRPr="007941A7" w:rsidRDefault="001A78ED" w:rsidP="001A78ED">
      <w:pPr>
        <w:spacing w:after="0"/>
        <w:rPr>
          <w:szCs w:val="24"/>
        </w:rPr>
      </w:pPr>
    </w:p>
    <w:p w14:paraId="14F1DC2E" w14:textId="77777777" w:rsidR="001A78ED" w:rsidRPr="007941A7" w:rsidRDefault="001A78ED" w:rsidP="001A78ED">
      <w:pPr>
        <w:spacing w:after="0"/>
        <w:rPr>
          <w:b/>
          <w:szCs w:val="24"/>
        </w:rPr>
      </w:pPr>
      <w:r w:rsidRPr="007941A7">
        <w:rPr>
          <w:b/>
          <w:szCs w:val="24"/>
        </w:rPr>
        <w:t>THIS ADDENDUM IS HEREBY OFFICIALLY MADE A PART OF THE REFERENCED SOLICITATION.</w:t>
      </w:r>
    </w:p>
    <w:p w14:paraId="1D988C48" w14:textId="77777777" w:rsidR="001A78ED" w:rsidRPr="007941A7" w:rsidRDefault="001A78ED" w:rsidP="001A78ED">
      <w:pPr>
        <w:spacing w:after="0"/>
        <w:rPr>
          <w:szCs w:val="24"/>
        </w:rPr>
      </w:pPr>
    </w:p>
    <w:p w14:paraId="004A6925" w14:textId="77777777" w:rsidR="001A78ED" w:rsidRPr="007941A7" w:rsidRDefault="001A78ED" w:rsidP="001A78ED">
      <w:pPr>
        <w:spacing w:after="0"/>
        <w:rPr>
          <w:szCs w:val="24"/>
        </w:rPr>
      </w:pPr>
      <w:r w:rsidRPr="007941A7">
        <w:rPr>
          <w:b/>
          <w:szCs w:val="24"/>
          <w:u w:val="single"/>
        </w:rPr>
        <w:t>ACKNOWLEDGEMENT</w:t>
      </w:r>
      <w:r w:rsidRPr="007941A7">
        <w:rPr>
          <w:b/>
          <w:szCs w:val="24"/>
        </w:rPr>
        <w:t>:</w:t>
      </w:r>
      <w:r w:rsidRPr="007941A7">
        <w:rPr>
          <w:szCs w:val="24"/>
        </w:rPr>
        <w:t xml:space="preserve"> 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3rd Street, Ste. 2-160, Baton Rouge, LA 70802, or by fax to: (225) 342- 9756. The State reserves the right to request a completed Acknowledgement at any time. Failure to execute an Acknowledgement shall not relieve the bidder from complying with the terms of its bid.</w:t>
      </w:r>
    </w:p>
    <w:p w14:paraId="41B072C1" w14:textId="77777777" w:rsidR="001A78ED" w:rsidRPr="007941A7" w:rsidRDefault="001A78ED" w:rsidP="001A78ED">
      <w:pPr>
        <w:spacing w:after="0"/>
        <w:rPr>
          <w:szCs w:val="24"/>
        </w:rPr>
      </w:pPr>
    </w:p>
    <w:p w14:paraId="292F2671" w14:textId="77777777" w:rsidR="001A78ED" w:rsidRPr="007941A7" w:rsidRDefault="001A78ED" w:rsidP="001A78ED">
      <w:pPr>
        <w:spacing w:after="0"/>
        <w:rPr>
          <w:szCs w:val="24"/>
        </w:rPr>
      </w:pPr>
      <w:r w:rsidRPr="007941A7">
        <w:rPr>
          <w:szCs w:val="24"/>
        </w:rPr>
        <w:t>Addendum Acknowledged/No changes:</w:t>
      </w:r>
    </w:p>
    <w:p w14:paraId="10E27420" w14:textId="77777777" w:rsidR="001A78ED" w:rsidRPr="007941A7" w:rsidRDefault="001A78ED" w:rsidP="001A78ED">
      <w:pPr>
        <w:spacing w:after="0"/>
        <w:rPr>
          <w:szCs w:val="24"/>
        </w:rPr>
      </w:pPr>
    </w:p>
    <w:p w14:paraId="5A8DB682" w14:textId="77777777" w:rsidR="001A78ED" w:rsidRPr="007941A7" w:rsidRDefault="001A78ED" w:rsidP="001A78ED">
      <w:pPr>
        <w:spacing w:after="0"/>
        <w:rPr>
          <w:szCs w:val="24"/>
        </w:rPr>
      </w:pPr>
      <w:r w:rsidRPr="007941A7">
        <w:rPr>
          <w:szCs w:val="24"/>
        </w:rPr>
        <w:t>For:</w:t>
      </w:r>
      <w:r w:rsidRPr="00E11A2C">
        <w:rPr>
          <w:rFonts w:eastAsia="Times New Roman"/>
          <w:szCs w:val="24"/>
        </w:rPr>
        <w:t xml:space="preserve"> ________________________  </w:t>
      </w:r>
      <w:r w:rsidRPr="007941A7">
        <w:rPr>
          <w:szCs w:val="24"/>
        </w:rPr>
        <w:tab/>
        <w:t>By:</w:t>
      </w:r>
      <w:r w:rsidRPr="00E11A2C">
        <w:rPr>
          <w:rFonts w:eastAsia="Times New Roman"/>
          <w:szCs w:val="24"/>
        </w:rPr>
        <w:t xml:space="preserve"> ________________________  </w:t>
      </w:r>
      <w:r w:rsidRPr="007941A7">
        <w:rPr>
          <w:szCs w:val="24"/>
        </w:rPr>
        <w:t xml:space="preserve">   </w:t>
      </w:r>
      <w:r w:rsidRPr="007941A7">
        <w:rPr>
          <w:szCs w:val="24"/>
        </w:rPr>
        <w:tab/>
      </w:r>
    </w:p>
    <w:p w14:paraId="4416EFF8" w14:textId="77777777" w:rsidR="001A78ED" w:rsidRPr="007941A7" w:rsidRDefault="001A78ED" w:rsidP="001A78ED">
      <w:pPr>
        <w:spacing w:after="0"/>
        <w:rPr>
          <w:szCs w:val="24"/>
        </w:rPr>
      </w:pPr>
    </w:p>
    <w:p w14:paraId="3F00DFA0" w14:textId="77777777" w:rsidR="001A78ED" w:rsidRPr="007941A7" w:rsidRDefault="001A78ED" w:rsidP="001A78ED">
      <w:pPr>
        <w:spacing w:after="0"/>
        <w:rPr>
          <w:szCs w:val="24"/>
        </w:rPr>
      </w:pPr>
      <w:r w:rsidRPr="007941A7">
        <w:rPr>
          <w:b/>
          <w:szCs w:val="24"/>
          <w:u w:val="single"/>
        </w:rPr>
        <w:t>REVISION</w:t>
      </w:r>
      <w:r w:rsidRPr="007941A7">
        <w:rPr>
          <w:b/>
          <w:szCs w:val="24"/>
        </w:rPr>
        <w:t>:</w:t>
      </w:r>
      <w:r w:rsidRPr="007941A7">
        <w:rPr>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3rd Street, Ste. 2-160, Baton Rouge, LA 70802, and indicate the RFx number and the bid opening date and time on the outside of the envelope for proper identification, or by fax to:</w:t>
      </w:r>
      <w:r>
        <w:rPr>
          <w:szCs w:val="24"/>
        </w:rPr>
        <w:t xml:space="preserve"> </w:t>
      </w:r>
      <w:r w:rsidRPr="007941A7">
        <w:rPr>
          <w:szCs w:val="24"/>
        </w:rPr>
        <w:t>(225) 342-9756. Electronic transmissions other than by fax are not being accepted at this time.</w:t>
      </w:r>
    </w:p>
    <w:p w14:paraId="6B64BCD7" w14:textId="77777777" w:rsidR="001A78ED" w:rsidRDefault="001A78ED" w:rsidP="001A78ED">
      <w:pPr>
        <w:spacing w:after="0"/>
        <w:rPr>
          <w:b/>
          <w:szCs w:val="24"/>
        </w:rPr>
      </w:pPr>
    </w:p>
    <w:p w14:paraId="12AD7DCB" w14:textId="77777777" w:rsidR="001A78ED" w:rsidRPr="007941A7" w:rsidRDefault="001A78ED" w:rsidP="001A78ED">
      <w:pPr>
        <w:spacing w:after="0"/>
        <w:rPr>
          <w:b/>
          <w:szCs w:val="24"/>
        </w:rPr>
      </w:pPr>
      <w:r w:rsidRPr="007941A7">
        <w:rPr>
          <w:b/>
          <w:szCs w:val="24"/>
        </w:rPr>
        <w:t>Revisions received after bid opening shall not be considered and you shall be held to your original bid.</w:t>
      </w:r>
    </w:p>
    <w:p w14:paraId="24BF87A0" w14:textId="77777777" w:rsidR="001A78ED" w:rsidRPr="007941A7" w:rsidRDefault="001A78ED" w:rsidP="001A78ED">
      <w:pPr>
        <w:spacing w:after="0"/>
        <w:rPr>
          <w:szCs w:val="24"/>
        </w:rPr>
      </w:pPr>
    </w:p>
    <w:p w14:paraId="62C2C569" w14:textId="77777777" w:rsidR="001A78ED" w:rsidRPr="007941A7" w:rsidRDefault="001A78ED" w:rsidP="001A78ED">
      <w:pPr>
        <w:spacing w:after="0"/>
        <w:rPr>
          <w:szCs w:val="24"/>
        </w:rPr>
      </w:pPr>
      <w:r w:rsidRPr="007941A7">
        <w:rPr>
          <w:szCs w:val="24"/>
        </w:rPr>
        <w:t>Revision:</w:t>
      </w:r>
    </w:p>
    <w:p w14:paraId="651C4780" w14:textId="77777777" w:rsidR="001A78ED" w:rsidRPr="007941A7" w:rsidRDefault="001A78ED" w:rsidP="001A78ED">
      <w:pPr>
        <w:spacing w:after="0"/>
        <w:rPr>
          <w:szCs w:val="24"/>
        </w:rPr>
      </w:pPr>
    </w:p>
    <w:p w14:paraId="771AB947" w14:textId="0D56A09D" w:rsidR="001A78ED" w:rsidRDefault="001A78ED" w:rsidP="003A2CEC">
      <w:pPr>
        <w:spacing w:after="0"/>
        <w:rPr>
          <w:szCs w:val="24"/>
        </w:rPr>
      </w:pPr>
      <w:r w:rsidRPr="007941A7">
        <w:rPr>
          <w:szCs w:val="24"/>
        </w:rPr>
        <w:t>For:</w:t>
      </w:r>
      <w:r w:rsidRPr="00E11A2C">
        <w:rPr>
          <w:rFonts w:eastAsia="Times New Roman"/>
          <w:szCs w:val="24"/>
        </w:rPr>
        <w:t xml:space="preserve"> ________________________  </w:t>
      </w:r>
      <w:r w:rsidRPr="007941A7">
        <w:rPr>
          <w:szCs w:val="24"/>
        </w:rPr>
        <w:tab/>
        <w:t>By:</w:t>
      </w:r>
      <w:r w:rsidRPr="00E11A2C">
        <w:rPr>
          <w:rFonts w:eastAsia="Times New Roman"/>
          <w:szCs w:val="24"/>
        </w:rPr>
        <w:t xml:space="preserve"> ________________________  </w:t>
      </w:r>
      <w:r w:rsidRPr="007941A7">
        <w:rPr>
          <w:szCs w:val="24"/>
        </w:rPr>
        <w:t xml:space="preserve">   </w:t>
      </w:r>
      <w:r w:rsidRPr="007941A7">
        <w:rPr>
          <w:szCs w:val="24"/>
        </w:rPr>
        <w:tab/>
      </w:r>
    </w:p>
    <w:p w14:paraId="5742D686" w14:textId="77777777" w:rsidR="001A78ED" w:rsidRPr="003A2CEC" w:rsidRDefault="001A78ED" w:rsidP="001A78ED">
      <w:pPr>
        <w:pStyle w:val="BodyText"/>
        <w:tabs>
          <w:tab w:val="left" w:pos="935"/>
        </w:tabs>
        <w:spacing w:before="100" w:beforeAutospacing="1" w:after="100" w:afterAutospacing="1" w:line="240" w:lineRule="auto"/>
        <w:rPr>
          <w:rFonts w:ascii="Calibri" w:eastAsia="Times New Roman" w:hAnsi="Calibri" w:cs="Calibri"/>
          <w:sz w:val="24"/>
          <w:szCs w:val="24"/>
        </w:rPr>
      </w:pPr>
      <w:r w:rsidRPr="003A2CEC">
        <w:rPr>
          <w:rFonts w:ascii="Calibri" w:hAnsi="Calibri" w:cs="Calibri"/>
          <w:sz w:val="24"/>
          <w:szCs w:val="24"/>
        </w:rPr>
        <w:t>By:</w:t>
      </w:r>
      <w:r w:rsidRPr="003A2CEC">
        <w:rPr>
          <w:rFonts w:ascii="Calibri" w:hAnsi="Calibri" w:cs="Calibri"/>
        </w:rPr>
        <w:tab/>
      </w:r>
      <w:r w:rsidRPr="003A2CEC">
        <w:rPr>
          <w:rFonts w:ascii="Calibri" w:eastAsia="Times New Roman" w:hAnsi="Calibri" w:cs="Calibri"/>
          <w:spacing w:val="-1"/>
          <w:sz w:val="24"/>
          <w:szCs w:val="24"/>
        </w:rPr>
        <w:t>Donald</w:t>
      </w:r>
      <w:r w:rsidRPr="003A2CEC">
        <w:rPr>
          <w:rFonts w:ascii="Calibri" w:eastAsia="Times New Roman" w:hAnsi="Calibri" w:cs="Calibri"/>
          <w:spacing w:val="-3"/>
          <w:sz w:val="24"/>
          <w:szCs w:val="24"/>
        </w:rPr>
        <w:t xml:space="preserve"> </w:t>
      </w:r>
      <w:r w:rsidRPr="003A2CEC">
        <w:rPr>
          <w:rFonts w:ascii="Calibri" w:eastAsia="Times New Roman" w:hAnsi="Calibri" w:cs="Calibri"/>
          <w:spacing w:val="-1"/>
          <w:sz w:val="24"/>
          <w:szCs w:val="24"/>
        </w:rPr>
        <w:t>Hunter</w:t>
      </w:r>
    </w:p>
    <w:p w14:paraId="1AB07FFD" w14:textId="4F5C4C93" w:rsidR="008E7953" w:rsidRPr="008E7953" w:rsidRDefault="001A78ED" w:rsidP="003A2CEC">
      <w:pPr>
        <w:widowControl w:val="0"/>
        <w:spacing w:before="100" w:beforeAutospacing="1" w:after="100" w:afterAutospacing="1"/>
        <w:ind w:left="935" w:right="5316"/>
      </w:pPr>
      <w:r w:rsidRPr="003A2CEC">
        <w:rPr>
          <w:rFonts w:eastAsia="Times New Roman" w:cs="Calibri"/>
          <w:spacing w:val="-1"/>
          <w:szCs w:val="24"/>
        </w:rPr>
        <w:t>Office</w:t>
      </w:r>
      <w:r w:rsidRPr="003A2CEC">
        <w:rPr>
          <w:rFonts w:eastAsia="Times New Roman" w:cs="Calibri"/>
          <w:spacing w:val="-4"/>
          <w:szCs w:val="24"/>
        </w:rPr>
        <w:t xml:space="preserve"> </w:t>
      </w:r>
      <w:r w:rsidRPr="003A2CEC">
        <w:rPr>
          <w:rFonts w:eastAsia="Times New Roman" w:cs="Calibri"/>
          <w:szCs w:val="24"/>
        </w:rPr>
        <w:t>of</w:t>
      </w:r>
      <w:r w:rsidRPr="003A2CEC">
        <w:rPr>
          <w:rFonts w:eastAsia="Times New Roman" w:cs="Calibri"/>
          <w:spacing w:val="-1"/>
          <w:szCs w:val="24"/>
        </w:rPr>
        <w:t xml:space="preserve"> State </w:t>
      </w:r>
      <w:r w:rsidRPr="003A2CEC">
        <w:rPr>
          <w:rFonts w:eastAsia="Times New Roman" w:cs="Calibri"/>
          <w:spacing w:val="-2"/>
          <w:szCs w:val="24"/>
        </w:rPr>
        <w:t>Procurement</w:t>
      </w:r>
      <w:r w:rsidRPr="003A2CEC">
        <w:rPr>
          <w:rFonts w:eastAsia="Times New Roman" w:cs="Calibri"/>
          <w:spacing w:val="27"/>
          <w:szCs w:val="24"/>
        </w:rPr>
        <w:t xml:space="preserve"> </w:t>
      </w:r>
      <w:r w:rsidRPr="003A2CEC">
        <w:rPr>
          <w:rFonts w:eastAsia="Times New Roman" w:cs="Calibri"/>
          <w:spacing w:val="-1"/>
          <w:szCs w:val="24"/>
        </w:rPr>
        <w:t>Telephone</w:t>
      </w:r>
      <w:r w:rsidRPr="003A2CEC">
        <w:rPr>
          <w:rFonts w:eastAsia="Times New Roman" w:cs="Calibri"/>
          <w:spacing w:val="-4"/>
          <w:szCs w:val="24"/>
        </w:rPr>
        <w:t xml:space="preserve"> </w:t>
      </w:r>
      <w:r w:rsidRPr="003A2CEC">
        <w:rPr>
          <w:rFonts w:eastAsia="Times New Roman" w:cs="Calibri"/>
          <w:spacing w:val="-1"/>
          <w:szCs w:val="24"/>
        </w:rPr>
        <w:t>No.</w:t>
      </w:r>
      <w:r w:rsidRPr="003A2CEC">
        <w:rPr>
          <w:rFonts w:eastAsia="Times New Roman" w:cs="Calibri"/>
          <w:szCs w:val="24"/>
        </w:rPr>
        <w:t xml:space="preserve"> </w:t>
      </w:r>
      <w:r w:rsidRPr="003A2CEC">
        <w:rPr>
          <w:rFonts w:eastAsia="Times New Roman" w:cs="Calibri"/>
          <w:spacing w:val="-1"/>
          <w:szCs w:val="24"/>
        </w:rPr>
        <w:t>225-342-5484</w:t>
      </w:r>
      <w:r w:rsidRPr="003A2CEC">
        <w:rPr>
          <w:rFonts w:eastAsia="Times New Roman" w:cs="Calibri"/>
          <w:spacing w:val="25"/>
          <w:szCs w:val="24"/>
        </w:rPr>
        <w:t xml:space="preserve"> </w:t>
      </w:r>
      <w:r w:rsidRPr="003A2CEC">
        <w:rPr>
          <w:rFonts w:eastAsia="Times New Roman" w:cs="Calibri"/>
          <w:spacing w:val="-2"/>
          <w:szCs w:val="24"/>
        </w:rPr>
        <w:t>Email:</w:t>
      </w:r>
      <w:r w:rsidRPr="003A2CEC">
        <w:rPr>
          <w:rFonts w:eastAsia="Times New Roman" w:cs="Calibri"/>
          <w:szCs w:val="24"/>
        </w:rPr>
        <w:t xml:space="preserve"> </w:t>
      </w:r>
      <w:hyperlink r:id="rId6">
        <w:r w:rsidRPr="003A2CEC">
          <w:rPr>
            <w:rFonts w:eastAsia="Times New Roman" w:cs="Calibri"/>
            <w:color w:val="0000FF"/>
            <w:spacing w:val="-2"/>
            <w:szCs w:val="24"/>
            <w:u w:val="single" w:color="0000FF"/>
          </w:rPr>
          <w:t>Donald.Hunter2@la.gov</w:t>
        </w:r>
      </w:hyperlink>
    </w:p>
    <w:sectPr w:rsidR="008E7953" w:rsidRPr="008E7953"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A6B32"/>
    <w:multiLevelType w:val="hybridMultilevel"/>
    <w:tmpl w:val="9C7A9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54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8ED"/>
    <w:rsid w:val="00010C88"/>
    <w:rsid w:val="001A78ED"/>
    <w:rsid w:val="003A2CEC"/>
    <w:rsid w:val="0047645C"/>
    <w:rsid w:val="00491DEC"/>
    <w:rsid w:val="004D3927"/>
    <w:rsid w:val="00523D01"/>
    <w:rsid w:val="005441A5"/>
    <w:rsid w:val="0068536F"/>
    <w:rsid w:val="007A24AE"/>
    <w:rsid w:val="008E7953"/>
    <w:rsid w:val="009D38DB"/>
    <w:rsid w:val="00AD2C98"/>
    <w:rsid w:val="00BD7114"/>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501DD"/>
  <w15:chartTrackingRefBased/>
  <w15:docId w15:val="{6F74BA98-478F-407D-B0B0-2809A112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paragraph" w:styleId="BodyText">
    <w:name w:val="Body Text"/>
    <w:basedOn w:val="Normal"/>
    <w:link w:val="BodyTextChar"/>
    <w:uiPriority w:val="99"/>
    <w:unhideWhenUsed/>
    <w:rsid w:val="001A78ED"/>
    <w:pPr>
      <w:spacing w:after="120" w:line="259" w:lineRule="auto"/>
    </w:pPr>
    <w:rPr>
      <w:rFonts w:ascii="Times New Roman" w:hAnsi="Times New Roman" w:cs="Times New Roman"/>
      <w:kern w:val="0"/>
      <w:sz w:val="22"/>
      <w14:ligatures w14:val="none"/>
    </w:rPr>
  </w:style>
  <w:style w:type="character" w:customStyle="1" w:styleId="BodyTextChar">
    <w:name w:val="Body Text Char"/>
    <w:basedOn w:val="DefaultParagraphFont"/>
    <w:link w:val="BodyText"/>
    <w:uiPriority w:val="99"/>
    <w:rsid w:val="001A78ED"/>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nald.Hunter2@la.gov"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Commodities%20Teams\Team%201\_Files%20-%20Donald\RFX\2025%20GENERATOR%20PURCHASE%20CONTRACT\ADDENDUM%201%20-%20VENDOR%20QUESTIONS\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15</TotalTime>
  <Pages>2</Pages>
  <Words>605</Words>
  <Characters>3449</Characters>
  <Application>Microsoft Office Word</Application>
  <DocSecurity>0</DocSecurity>
  <Lines>28</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ADDENDUM NO. 01</vt:lpstr>
    </vt:vector>
  </TitlesOfParts>
  <Company>State of Louisiana</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Hunter</dc:creator>
  <cp:keywords/>
  <dc:description/>
  <cp:lastModifiedBy>Donald Hunter</cp:lastModifiedBy>
  <cp:revision>2</cp:revision>
  <dcterms:created xsi:type="dcterms:W3CDTF">2025-12-12T18:02:00Z</dcterms:created>
  <dcterms:modified xsi:type="dcterms:W3CDTF">2025-12-15T21:35:00Z</dcterms:modified>
</cp:coreProperties>
</file>