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3040F" w14:textId="267C49F8" w:rsidR="007479DD" w:rsidRPr="00C6062F" w:rsidRDefault="007479DD" w:rsidP="007479DD">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A</w:t>
      </w:r>
    </w:p>
    <w:p w14:paraId="692F9AD9" w14:textId="77777777" w:rsidR="007479DD" w:rsidRDefault="007479DD" w:rsidP="007479DD">
      <w:pPr>
        <w:spacing w:after="0" w:line="240" w:lineRule="auto"/>
        <w:jc w:val="both"/>
        <w:rPr>
          <w:rFonts w:ascii="Times New Roman" w:hAnsi="Times New Roman" w:cs="Times New Roman"/>
          <w:b/>
          <w:sz w:val="24"/>
          <w:szCs w:val="24"/>
        </w:rPr>
      </w:pPr>
    </w:p>
    <w:p w14:paraId="62546A25" w14:textId="51AD71F5" w:rsidR="007479DD" w:rsidRPr="00C6062F" w:rsidRDefault="007479DD" w:rsidP="007479DD">
      <w:pPr>
        <w:tabs>
          <w:tab w:val="left" w:pos="3510"/>
        </w:tabs>
        <w:spacing w:after="0" w:line="240" w:lineRule="auto"/>
        <w:ind w:left="3960" w:hanging="3960"/>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Pr>
          <w:rFonts w:ascii="Times New Roman" w:hAnsi="Times New Roman" w:cs="Times New Roman"/>
          <w:b/>
          <w:sz w:val="24"/>
          <w:szCs w:val="24"/>
        </w:rPr>
        <w:t xml:space="preserve">3000025235                  </w:t>
      </w:r>
      <w:r>
        <w:rPr>
          <w:rFonts w:ascii="Times New Roman" w:hAnsi="Times New Roman" w:cs="Times New Roman"/>
          <w:b/>
          <w:sz w:val="24"/>
          <w:szCs w:val="24"/>
        </w:rPr>
        <w:tab/>
      </w:r>
      <w:r w:rsidRPr="00C6062F">
        <w:rPr>
          <w:rFonts w:ascii="Times New Roman" w:hAnsi="Times New Roman" w:cs="Times New Roman"/>
          <w:b/>
          <w:sz w:val="24"/>
          <w:szCs w:val="24"/>
        </w:rPr>
        <w:t xml:space="preserve">Contract Title: </w:t>
      </w:r>
      <w:r w:rsidRPr="007479DD">
        <w:rPr>
          <w:rFonts w:ascii="Times New Roman" w:hAnsi="Times New Roman" w:cs="Times New Roman"/>
          <w:b/>
          <w:sz w:val="24"/>
          <w:szCs w:val="24"/>
        </w:rPr>
        <w:t>Bobcat Brand Name Industrial Equipment – Statewide</w:t>
      </w:r>
    </w:p>
    <w:p w14:paraId="49E52585" w14:textId="77777777" w:rsidR="007479DD" w:rsidRDefault="007479DD" w:rsidP="00C6062F">
      <w:pPr>
        <w:spacing w:after="0" w:line="240" w:lineRule="auto"/>
        <w:jc w:val="both"/>
        <w:rPr>
          <w:rFonts w:ascii="Times New Roman" w:hAnsi="Times New Roman" w:cs="Times New Roman"/>
          <w:b/>
          <w:sz w:val="24"/>
          <w:szCs w:val="24"/>
        </w:rPr>
      </w:pPr>
    </w:p>
    <w:p w14:paraId="21A0B2D9" w14:textId="44E3E955" w:rsidR="00C6062F" w:rsidRDefault="00C6062F" w:rsidP="00C6062F">
      <w:pPr>
        <w:spacing w:after="0" w:line="240" w:lineRule="auto"/>
        <w:jc w:val="both"/>
        <w:rPr>
          <w:rFonts w:ascii="Times New Roman" w:hAnsi="Times New Roman" w:cs="Times New Roman"/>
          <w:b/>
          <w:bCs/>
          <w:sz w:val="24"/>
          <w:szCs w:val="24"/>
        </w:rPr>
      </w:pPr>
    </w:p>
    <w:p w14:paraId="33056443" w14:textId="77777777" w:rsidR="007479DD" w:rsidRPr="00C6062F" w:rsidRDefault="007479DD" w:rsidP="007479D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Pr="00C6062F">
        <w:rPr>
          <w:rFonts w:ascii="Times New Roman" w:hAnsi="Times New Roman" w:cs="Times New Roman"/>
          <w:b/>
          <w:sz w:val="24"/>
          <w:szCs w:val="24"/>
          <w:u w:val="single"/>
        </w:rPr>
        <w:t xml:space="preserve"> Terms and Conditions</w:t>
      </w:r>
    </w:p>
    <w:p w14:paraId="70E41A6E" w14:textId="77777777" w:rsidR="007479DD" w:rsidRDefault="007479DD" w:rsidP="007479DD">
      <w:pPr>
        <w:spacing w:after="0" w:line="240" w:lineRule="auto"/>
        <w:jc w:val="both"/>
        <w:rPr>
          <w:rFonts w:ascii="Times New Roman" w:hAnsi="Times New Roman" w:cs="Times New Roman"/>
          <w:b/>
          <w:bCs/>
          <w:sz w:val="24"/>
          <w:szCs w:val="24"/>
        </w:rPr>
      </w:pPr>
    </w:p>
    <w:p w14:paraId="79D6E1B9" w14:textId="75303228" w:rsidR="007479DD" w:rsidRPr="00992C01" w:rsidRDefault="007479DD" w:rsidP="007479DD">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r w:rsidR="006D1DC0">
        <w:rPr>
          <w:rFonts w:ascii="Times New Roman" w:eastAsia="PMingLiU" w:hAnsi="Times New Roman" w:cs="Times New Roman"/>
          <w:b/>
          <w:sz w:val="24"/>
          <w:szCs w:val="24"/>
          <w:lang w:eastAsia="zh-TW"/>
        </w:rPr>
        <w:t>:</w:t>
      </w:r>
    </w:p>
    <w:p w14:paraId="439E6879"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rPr>
      </w:pPr>
    </w:p>
    <w:p w14:paraId="2F1AC3F3"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Pr>
          <w:rFonts w:ascii="Times New Roman" w:eastAsia="Times New Roman" w:hAnsi="Times New Roman" w:cs="Times New Roman"/>
          <w:color w:val="000000"/>
          <w:sz w:val="24"/>
          <w:szCs w:val="24"/>
        </w:rPr>
        <w:t>ate and time specified on page 1 of the Invitation to Bid.</w:t>
      </w:r>
      <w:r w:rsidRPr="00992C01">
        <w:rPr>
          <w:rFonts w:ascii="Times New Roman" w:eastAsia="Times New Roman" w:hAnsi="Times New Roman" w:cs="Times New Roman"/>
          <w:color w:val="000000"/>
          <w:sz w:val="24"/>
          <w:szCs w:val="24"/>
        </w:rPr>
        <w:t xml:space="preserve"> </w:t>
      </w:r>
    </w:p>
    <w:p w14:paraId="30DBFA86"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0226B7D5"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22670EFE"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6B6EAFC"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1261A5AF"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471DDFC6"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601E876B"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0E3E0192"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7BCEEE84"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Pr>
          <w:rFonts w:ascii="Times New Roman" w:eastAsia="Times New Roman" w:hAnsi="Times New Roman" w:cs="Times New Roman"/>
          <w:color w:val="000000"/>
          <w:sz w:val="24"/>
          <w:szCs w:val="24"/>
        </w:rPr>
        <w:t>he link on page 1 of the Invitation to B</w:t>
      </w:r>
      <w:r w:rsidRPr="00992C01">
        <w:rPr>
          <w:rFonts w:ascii="Times New Roman" w:eastAsia="Times New Roman" w:hAnsi="Times New Roman" w:cs="Times New Roman"/>
          <w:color w:val="000000"/>
          <w:sz w:val="24"/>
          <w:szCs w:val="24"/>
        </w:rPr>
        <w:t>id.</w:t>
      </w:r>
    </w:p>
    <w:p w14:paraId="4CA12BCC"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5E1A1609"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29CC4AD0"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1D5EC47D"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57A4A85B" w14:textId="77777777" w:rsidR="007479DD" w:rsidRPr="00992C01"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2DB86B2" w14:textId="77777777" w:rsidR="007479DD" w:rsidRPr="00992C01"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1ACB3A20" w14:textId="77777777" w:rsidR="007479DD" w:rsidRPr="00992C01"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181A0D7" w14:textId="77777777" w:rsidR="007479DD" w:rsidRPr="00992C01"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650408F5" w14:textId="77777777" w:rsidR="007479DD" w:rsidRPr="00992C01" w:rsidRDefault="007479DD" w:rsidP="007479DD">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6D88954" w14:textId="77777777" w:rsidR="007479DD" w:rsidRPr="00992C01" w:rsidRDefault="007479DD" w:rsidP="007479DD">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1C193728" w14:textId="77777777" w:rsidR="007479DD" w:rsidRPr="00992C01" w:rsidRDefault="007479DD" w:rsidP="007479DD">
      <w:pPr>
        <w:spacing w:after="0" w:line="240" w:lineRule="auto"/>
        <w:ind w:left="100" w:right="512"/>
        <w:jc w:val="both"/>
        <w:rPr>
          <w:rFonts w:ascii="Times New Roman" w:eastAsia="Times New Roman" w:hAnsi="Times New Roman" w:cs="Times New Roman"/>
        </w:rPr>
      </w:pPr>
    </w:p>
    <w:p w14:paraId="0E65B2A1" w14:textId="77777777" w:rsidR="007479DD" w:rsidRDefault="007479DD" w:rsidP="007479DD">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6E828DB2" w14:textId="77777777" w:rsidR="007479DD" w:rsidRPr="00992C01" w:rsidRDefault="007479DD" w:rsidP="007479DD">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2182E33F" w14:textId="77777777" w:rsidR="007479DD" w:rsidRPr="00992C01" w:rsidRDefault="007479DD" w:rsidP="007479DD">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3554ABD9" w14:textId="77777777" w:rsidR="007479DD" w:rsidRPr="00992C01" w:rsidRDefault="007479DD" w:rsidP="007479DD">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lastRenderedPageBreak/>
        <w:t xml:space="preserve">       </w:t>
      </w:r>
    </w:p>
    <w:p w14:paraId="0C517402" w14:textId="77777777" w:rsidR="007479DD" w:rsidRPr="00992C01" w:rsidRDefault="007479DD" w:rsidP="007479DD">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3D4D6DC5" w14:textId="77777777" w:rsidR="005357C8" w:rsidRDefault="005357C8" w:rsidP="005357C8">
      <w:pPr>
        <w:keepNext/>
        <w:keepLines/>
        <w:spacing w:after="0" w:line="240" w:lineRule="auto"/>
        <w:jc w:val="both"/>
        <w:rPr>
          <w:rFonts w:ascii="Times New Roman" w:hAnsi="Times New Roman" w:cs="Times New Roman"/>
          <w:b/>
          <w:sz w:val="24"/>
          <w:szCs w:val="24"/>
        </w:rPr>
      </w:pPr>
    </w:p>
    <w:p w14:paraId="1A33B2AD" w14:textId="4C1ADAEC" w:rsidR="005357C8" w:rsidRPr="00992C01" w:rsidRDefault="005357C8" w:rsidP="005357C8">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Calendar of Events:</w:t>
      </w:r>
    </w:p>
    <w:p w14:paraId="4C5A5C02" w14:textId="77777777" w:rsidR="005357C8" w:rsidRPr="00992C01" w:rsidRDefault="005357C8" w:rsidP="005357C8">
      <w:pPr>
        <w:keepNext/>
        <w:keepLines/>
        <w:spacing w:after="0" w:line="240" w:lineRule="auto"/>
        <w:jc w:val="both"/>
        <w:rPr>
          <w:rFonts w:ascii="Times New Roman" w:hAnsi="Times New Roman" w:cs="Times New Roman"/>
          <w:b/>
          <w:sz w:val="24"/>
          <w:szCs w:val="24"/>
        </w:rPr>
      </w:pPr>
    </w:p>
    <w:p w14:paraId="4188854E" w14:textId="77777777" w:rsidR="005357C8" w:rsidRDefault="005357C8" w:rsidP="005357C8">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receive written inquiries:  </w:t>
      </w:r>
      <w:r>
        <w:rPr>
          <w:rFonts w:ascii="Times New Roman" w:hAnsi="Times New Roman" w:cs="Times New Roman"/>
          <w:b/>
          <w:sz w:val="24"/>
          <w:szCs w:val="24"/>
          <w:u w:val="single"/>
        </w:rPr>
        <w:t>08/26/2025</w:t>
      </w:r>
    </w:p>
    <w:p w14:paraId="2D6ECD3D" w14:textId="77777777" w:rsidR="005357C8" w:rsidRDefault="005357C8" w:rsidP="005357C8">
      <w:pPr>
        <w:keepNext/>
        <w:keepLines/>
        <w:spacing w:after="0" w:line="240" w:lineRule="auto"/>
        <w:jc w:val="both"/>
        <w:rPr>
          <w:rFonts w:ascii="Times New Roman" w:hAnsi="Times New Roman" w:cs="Times New Roman"/>
          <w:sz w:val="24"/>
          <w:szCs w:val="24"/>
        </w:rPr>
      </w:pPr>
    </w:p>
    <w:p w14:paraId="0EC47714" w14:textId="77777777" w:rsidR="005357C8" w:rsidRDefault="005357C8" w:rsidP="005357C8">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answer written inquiries:  </w:t>
      </w:r>
      <w:r>
        <w:rPr>
          <w:rFonts w:ascii="Times New Roman" w:hAnsi="Times New Roman" w:cs="Times New Roman"/>
          <w:b/>
          <w:sz w:val="24"/>
          <w:szCs w:val="24"/>
          <w:u w:val="single"/>
        </w:rPr>
        <w:t>09/02/2025</w:t>
      </w:r>
    </w:p>
    <w:p w14:paraId="2218EC8B" w14:textId="77777777" w:rsidR="005357C8" w:rsidRDefault="005357C8" w:rsidP="005357C8">
      <w:pPr>
        <w:keepNext/>
        <w:keepLines/>
        <w:spacing w:after="0" w:line="240" w:lineRule="auto"/>
        <w:jc w:val="both"/>
        <w:rPr>
          <w:rFonts w:ascii="Times New Roman" w:hAnsi="Times New Roman" w:cs="Times New Roman"/>
          <w:sz w:val="24"/>
          <w:szCs w:val="24"/>
        </w:rPr>
      </w:pPr>
    </w:p>
    <w:p w14:paraId="313765C4" w14:textId="77777777" w:rsidR="005357C8" w:rsidRDefault="005357C8" w:rsidP="005357C8">
      <w:pPr>
        <w:keepLines/>
        <w:spacing w:after="0" w:line="240" w:lineRule="auto"/>
        <w:ind w:firstLine="720"/>
        <w:jc w:val="both"/>
        <w:rPr>
          <w:rFonts w:ascii="Times New Roman" w:hAnsi="Times New Roman" w:cs="Times New Roman"/>
          <w:b/>
          <w:sz w:val="24"/>
          <w:szCs w:val="24"/>
          <w:u w:val="single"/>
        </w:rPr>
      </w:pPr>
      <w:r>
        <w:rPr>
          <w:rFonts w:ascii="Times New Roman" w:hAnsi="Times New Roman" w:cs="Times New Roman"/>
          <w:sz w:val="24"/>
          <w:szCs w:val="24"/>
        </w:rPr>
        <w:t xml:space="preserve">Bid Opening Date and Time: </w:t>
      </w:r>
      <w:r>
        <w:rPr>
          <w:rFonts w:ascii="Times New Roman" w:hAnsi="Times New Roman" w:cs="Times New Roman"/>
          <w:b/>
          <w:sz w:val="24"/>
          <w:szCs w:val="24"/>
          <w:u w:val="single"/>
        </w:rPr>
        <w:t>09/09/2025 @ 10:00 A.M. (Central Time)</w:t>
      </w:r>
    </w:p>
    <w:p w14:paraId="2D5021C1" w14:textId="54E4F39F" w:rsidR="007479DD" w:rsidRPr="00992C01" w:rsidRDefault="007479DD" w:rsidP="007479DD">
      <w:pPr>
        <w:keepLines/>
        <w:spacing w:after="0" w:line="240" w:lineRule="auto"/>
        <w:jc w:val="both"/>
        <w:rPr>
          <w:rFonts w:ascii="Times New Roman" w:hAnsi="Times New Roman" w:cs="Times New Roman"/>
          <w:sz w:val="24"/>
          <w:szCs w:val="24"/>
        </w:rPr>
      </w:pPr>
    </w:p>
    <w:p w14:paraId="762BA833" w14:textId="77777777" w:rsidR="007479DD" w:rsidRPr="00992C01" w:rsidRDefault="007479DD" w:rsidP="007479DD">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03E0AA7C" w14:textId="77777777" w:rsidR="007479DD" w:rsidRPr="00992C01" w:rsidRDefault="007479DD" w:rsidP="007479DD">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5CF9178F" w14:textId="77777777" w:rsidR="007479DD" w:rsidRPr="00992C01" w:rsidRDefault="007479DD" w:rsidP="007479DD">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5B09B1D9" w14:textId="77777777" w:rsidR="007479DD" w:rsidRPr="00992C01" w:rsidRDefault="007479DD" w:rsidP="007479DD">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1DF8B710" w14:textId="77777777" w:rsidR="007479DD" w:rsidRPr="00992C01" w:rsidRDefault="007479DD" w:rsidP="007479DD">
      <w:pPr>
        <w:keepLines/>
        <w:spacing w:after="0" w:line="240" w:lineRule="auto"/>
        <w:jc w:val="both"/>
        <w:rPr>
          <w:rFonts w:ascii="Times New Roman" w:hAnsi="Times New Roman" w:cs="Times New Roman"/>
          <w:sz w:val="24"/>
          <w:szCs w:val="24"/>
        </w:rPr>
      </w:pPr>
    </w:p>
    <w:p w14:paraId="6993A37F" w14:textId="77777777" w:rsidR="007479DD" w:rsidRPr="00992C01" w:rsidRDefault="007479DD" w:rsidP="007479DD">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5FF4324D" w14:textId="77777777" w:rsidR="007479DD" w:rsidRPr="00992C01" w:rsidRDefault="007479DD" w:rsidP="007479DD">
      <w:pPr>
        <w:spacing w:after="0" w:line="240" w:lineRule="auto"/>
        <w:jc w:val="both"/>
        <w:rPr>
          <w:rFonts w:ascii="Times New Roman" w:hAnsi="Times New Roman" w:cs="Times New Roman"/>
          <w:sz w:val="24"/>
          <w:szCs w:val="24"/>
        </w:rPr>
      </w:pPr>
    </w:p>
    <w:p w14:paraId="363A94C8" w14:textId="77777777" w:rsidR="007479DD" w:rsidRPr="00992C01" w:rsidRDefault="007479DD" w:rsidP="007479DD">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006A8A36" w14:textId="77777777" w:rsidR="007479DD" w:rsidRPr="00992C01" w:rsidRDefault="007479DD" w:rsidP="007479D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1244ED05" w14:textId="77777777" w:rsidR="007479DD" w:rsidRPr="00992C01" w:rsidRDefault="007479DD" w:rsidP="007479D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7945A385" w14:textId="77777777" w:rsidR="007479DD" w:rsidRPr="00992C01" w:rsidRDefault="007479DD" w:rsidP="007479D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7F9F0E53" w14:textId="77777777" w:rsidR="007479DD" w:rsidRPr="00992C01" w:rsidRDefault="007479DD" w:rsidP="007479D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13F5890E" w14:textId="77777777" w:rsidR="007479DD" w:rsidRPr="00992C01" w:rsidRDefault="007479DD" w:rsidP="007479D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4D979E26" w14:textId="77777777" w:rsidR="007479DD" w:rsidRPr="00992C01" w:rsidRDefault="007479DD" w:rsidP="007479D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4C9AFD42" w14:textId="77777777" w:rsidR="007479DD" w:rsidRPr="00992C01" w:rsidRDefault="007479DD" w:rsidP="007479DD">
      <w:pPr>
        <w:tabs>
          <w:tab w:val="right" w:pos="9418"/>
        </w:tabs>
        <w:spacing w:after="0" w:line="240" w:lineRule="auto"/>
        <w:ind w:firstLine="720"/>
        <w:jc w:val="both"/>
        <w:rPr>
          <w:rFonts w:ascii="Times New Roman" w:hAnsi="Times New Roman" w:cs="Times New Roman"/>
          <w:sz w:val="24"/>
          <w:szCs w:val="24"/>
        </w:rPr>
      </w:pPr>
    </w:p>
    <w:p w14:paraId="70F2A491" w14:textId="77777777" w:rsidR="007479DD" w:rsidRPr="00992C01" w:rsidRDefault="007479DD" w:rsidP="007479DD">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27A0357B" w14:textId="77777777" w:rsidR="007479DD" w:rsidRPr="00992C01" w:rsidRDefault="007479DD" w:rsidP="007479DD">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48306B40" w14:textId="77777777" w:rsidR="007479DD" w:rsidRDefault="007479DD" w:rsidP="007479DD">
      <w:pPr>
        <w:spacing w:after="0" w:line="240" w:lineRule="auto"/>
        <w:jc w:val="both"/>
        <w:rPr>
          <w:rFonts w:ascii="Times New Roman" w:hAnsi="Times New Roman" w:cs="Times New Roman"/>
          <w:sz w:val="24"/>
          <w:szCs w:val="24"/>
        </w:rPr>
      </w:pPr>
    </w:p>
    <w:p w14:paraId="048F5F9A" w14:textId="77777777" w:rsidR="007479DD" w:rsidRPr="008F4BE9" w:rsidRDefault="007479DD" w:rsidP="007479DD">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0B535943" w14:textId="77777777" w:rsidR="007479DD" w:rsidRPr="008F4BE9" w:rsidRDefault="007479DD" w:rsidP="007479DD">
      <w:pPr>
        <w:spacing w:after="0" w:line="240" w:lineRule="auto"/>
        <w:jc w:val="both"/>
        <w:rPr>
          <w:rFonts w:ascii="Times New Roman" w:hAnsi="Times New Roman" w:cs="Times New Roman"/>
          <w:sz w:val="24"/>
          <w:szCs w:val="24"/>
        </w:rPr>
      </w:pPr>
    </w:p>
    <w:p w14:paraId="1794094D" w14:textId="77777777" w:rsidR="007479DD" w:rsidRPr="008F4BE9" w:rsidRDefault="007479DD" w:rsidP="007479DD">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w:t>
      </w:r>
      <w:r w:rsidRPr="008F4BE9">
        <w:rPr>
          <w:rFonts w:ascii="Times New Roman" w:hAnsi="Times New Roman" w:cs="Times New Roman"/>
          <w:sz w:val="24"/>
          <w:szCs w:val="24"/>
        </w:rPr>
        <w:lastRenderedPageBreak/>
        <w:t>as written and/or amended by any addendum. No negotiations, decisions, or ac</w:t>
      </w:r>
      <w:r>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25359E06" w14:textId="77777777" w:rsidR="007479DD" w:rsidRPr="008F4BE9" w:rsidRDefault="007479DD" w:rsidP="007479DD">
      <w:pPr>
        <w:spacing w:after="0" w:line="240" w:lineRule="auto"/>
        <w:jc w:val="both"/>
        <w:rPr>
          <w:rFonts w:ascii="Times New Roman" w:hAnsi="Times New Roman" w:cs="Times New Roman"/>
          <w:sz w:val="24"/>
          <w:szCs w:val="24"/>
        </w:rPr>
      </w:pPr>
    </w:p>
    <w:p w14:paraId="14FC17DC" w14:textId="77777777" w:rsidR="007479DD" w:rsidRPr="008F4BE9" w:rsidRDefault="007479DD" w:rsidP="007479DD">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262C17EF" w14:textId="77777777" w:rsidR="007479DD" w:rsidRPr="008F4BE9" w:rsidRDefault="007479DD" w:rsidP="007479DD">
      <w:pPr>
        <w:spacing w:after="0" w:line="240" w:lineRule="auto"/>
        <w:jc w:val="both"/>
        <w:rPr>
          <w:rFonts w:ascii="Times New Roman" w:hAnsi="Times New Roman" w:cs="Times New Roman"/>
          <w:sz w:val="24"/>
          <w:szCs w:val="24"/>
        </w:rPr>
      </w:pPr>
    </w:p>
    <w:p w14:paraId="049EEA78" w14:textId="77777777" w:rsidR="007479DD" w:rsidRPr="008F4BE9" w:rsidRDefault="007479DD" w:rsidP="007479DD">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5F95AB60" w14:textId="77777777" w:rsidR="007479DD" w:rsidRPr="008F4BE9" w:rsidRDefault="0020110E" w:rsidP="007479DD">
      <w:pPr>
        <w:spacing w:after="0" w:line="240" w:lineRule="auto"/>
        <w:jc w:val="both"/>
        <w:rPr>
          <w:rFonts w:ascii="Times New Roman" w:hAnsi="Times New Roman" w:cs="Times New Roman"/>
          <w:color w:val="0000FF" w:themeColor="hyperlink"/>
          <w:sz w:val="24"/>
          <w:szCs w:val="24"/>
          <w:u w:val="single"/>
        </w:rPr>
      </w:pPr>
      <w:hyperlink r:id="rId11" w:history="1">
        <w:r w:rsidR="007479DD"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0BDC5B0B" w14:textId="77777777" w:rsidR="007479DD" w:rsidRPr="008F4BE9" w:rsidRDefault="007479DD" w:rsidP="007479DD">
      <w:pPr>
        <w:spacing w:after="0" w:line="240" w:lineRule="auto"/>
        <w:jc w:val="both"/>
        <w:rPr>
          <w:rFonts w:ascii="Times New Roman" w:hAnsi="Times New Roman" w:cs="Times New Roman"/>
          <w:color w:val="0000FF" w:themeColor="hyperlink"/>
          <w:sz w:val="24"/>
          <w:szCs w:val="24"/>
          <w:u w:val="single"/>
        </w:rPr>
      </w:pPr>
    </w:p>
    <w:p w14:paraId="1F9D6E52" w14:textId="77777777" w:rsidR="007479DD" w:rsidRPr="008F4BE9" w:rsidRDefault="007479DD" w:rsidP="007479DD">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Procurement’s website under Vendor Resources</w:t>
      </w:r>
      <w:r w:rsidRPr="008F4BE9">
        <w:rPr>
          <w:rFonts w:ascii="Times New Roman" w:hAnsi="Times New Roman" w:cs="Times New Roman"/>
          <w:sz w:val="24"/>
          <w:szCs w:val="24"/>
        </w:rPr>
        <w:t xml:space="preserve"> at:</w:t>
      </w:r>
    </w:p>
    <w:p w14:paraId="759DF18A" w14:textId="77777777" w:rsidR="007479DD" w:rsidRPr="008F4BE9" w:rsidRDefault="0020110E" w:rsidP="007479DD">
      <w:pPr>
        <w:spacing w:after="0" w:line="240" w:lineRule="auto"/>
        <w:ind w:right="184"/>
        <w:jc w:val="both"/>
        <w:rPr>
          <w:rFonts w:ascii="Times New Roman" w:hAnsi="Times New Roman" w:cs="Times New Roman"/>
          <w:sz w:val="24"/>
        </w:rPr>
      </w:pPr>
      <w:hyperlink r:id="rId12" w:history="1">
        <w:r w:rsidR="007479DD" w:rsidRPr="00AC3D9A">
          <w:rPr>
            <w:rStyle w:val="Hyperlink"/>
            <w:rFonts w:ascii="Times New Roman" w:hAnsi="Times New Roman" w:cs="Times New Roman"/>
            <w:sz w:val="24"/>
          </w:rPr>
          <w:t>https://www.doa.la.gov/doa/osp/vendor-resources/</w:t>
        </w:r>
      </w:hyperlink>
      <w:r w:rsidR="007479DD">
        <w:rPr>
          <w:rFonts w:ascii="Times New Roman" w:hAnsi="Times New Roman" w:cs="Times New Roman"/>
          <w:color w:val="0000FF" w:themeColor="hyperlink"/>
          <w:sz w:val="24"/>
          <w:u w:val="single"/>
        </w:rPr>
        <w:t xml:space="preserve">. </w:t>
      </w:r>
      <w:r w:rsidR="007479DD" w:rsidRPr="008F4BE9">
        <w:rPr>
          <w:rFonts w:ascii="Times New Roman" w:hAnsi="Times New Roman" w:cs="Times New Roman"/>
          <w:sz w:val="24"/>
        </w:rPr>
        <w:t xml:space="preserve">  </w:t>
      </w:r>
    </w:p>
    <w:p w14:paraId="47482C59" w14:textId="77777777" w:rsidR="007479DD" w:rsidRPr="00C6062F" w:rsidRDefault="007479DD" w:rsidP="007479DD">
      <w:pPr>
        <w:spacing w:after="0" w:line="240" w:lineRule="auto"/>
        <w:ind w:right="184"/>
        <w:jc w:val="both"/>
        <w:rPr>
          <w:rFonts w:ascii="Times New Roman" w:eastAsia="Times New Roman" w:hAnsi="Times New Roman" w:cs="Times New Roman"/>
          <w:spacing w:val="-5"/>
          <w:sz w:val="24"/>
          <w:szCs w:val="24"/>
        </w:rPr>
      </w:pPr>
    </w:p>
    <w:p w14:paraId="36DA3DDB" w14:textId="77777777" w:rsidR="007479DD" w:rsidRDefault="007479DD" w:rsidP="007479DD">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D83C722" w14:textId="77777777" w:rsidR="007479DD" w:rsidRPr="00C6062F" w:rsidRDefault="007479DD" w:rsidP="007479DD">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737B559D" w14:textId="77777777" w:rsidR="007479DD" w:rsidRPr="00C6062F" w:rsidRDefault="007479DD" w:rsidP="007479DD">
      <w:pPr>
        <w:spacing w:after="0" w:line="240" w:lineRule="auto"/>
        <w:ind w:right="184"/>
        <w:jc w:val="both"/>
        <w:rPr>
          <w:rFonts w:ascii="Times New Roman" w:hAnsi="Times New Roman" w:cs="Times New Roman"/>
          <w:sz w:val="24"/>
          <w:szCs w:val="24"/>
        </w:rPr>
      </w:pPr>
    </w:p>
    <w:p w14:paraId="5D906863"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08017DA7"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3C3E216C"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3694F717"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0BD7F271"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Pr="00C6062F">
        <w:rPr>
          <w:rFonts w:ascii="Times New Roman" w:eastAsia="PMingLiU" w:hAnsi="Times New Roman" w:cs="Times New Roman"/>
          <w:sz w:val="24"/>
          <w:szCs w:val="24"/>
          <w:lang w:eastAsia="zh-TW"/>
        </w:rPr>
        <w:t>idder who signs the b</w:t>
      </w:r>
      <w:r>
        <w:rPr>
          <w:rFonts w:ascii="Times New Roman" w:eastAsia="PMingLiU" w:hAnsi="Times New Roman" w:cs="Times New Roman"/>
          <w:sz w:val="24"/>
          <w:szCs w:val="24"/>
          <w:lang w:eastAsia="zh-TW"/>
        </w:rPr>
        <w:t>id will be designated as Prime C</w:t>
      </w:r>
      <w:r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Pr="00C6062F">
        <w:rPr>
          <w:rFonts w:ascii="Times New Roman" w:eastAsia="PMingLiU" w:hAnsi="Times New Roman" w:cs="Times New Roman"/>
          <w:sz w:val="24"/>
          <w:szCs w:val="24"/>
          <w:lang w:eastAsia="zh-TW"/>
        </w:rPr>
        <w:t xml:space="preserve">idder </w:t>
      </w:r>
      <w:r>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Pr>
          <w:rFonts w:ascii="Times New Roman" w:eastAsia="PMingLiU" w:hAnsi="Times New Roman" w:cs="Times New Roman"/>
          <w:sz w:val="24"/>
          <w:szCs w:val="24"/>
          <w:lang w:eastAsia="zh-TW"/>
        </w:rPr>
        <w:t>e business address.  The Prime C</w:t>
      </w:r>
      <w:r w:rsidRPr="00C6062F">
        <w:rPr>
          <w:rFonts w:ascii="Times New Roman" w:eastAsia="PMingLiU" w:hAnsi="Times New Roman" w:cs="Times New Roman"/>
          <w:sz w:val="24"/>
          <w:szCs w:val="24"/>
          <w:lang w:eastAsia="zh-TW"/>
        </w:rPr>
        <w:t>ontractor will be responsible for the actions of any distributor vendors listed.</w:t>
      </w:r>
    </w:p>
    <w:p w14:paraId="767C9EA8" w14:textId="77777777" w:rsidR="007479DD" w:rsidRPr="00C6062F" w:rsidRDefault="007479DD" w:rsidP="007479DD">
      <w:pPr>
        <w:widowControl/>
        <w:spacing w:after="0" w:line="240" w:lineRule="auto"/>
        <w:jc w:val="both"/>
        <w:rPr>
          <w:rFonts w:ascii="Times New Roman" w:eastAsia="Times New Roman" w:hAnsi="Times New Roman" w:cs="Times New Roman"/>
          <w:spacing w:val="-5"/>
          <w:sz w:val="24"/>
          <w:szCs w:val="24"/>
        </w:rPr>
      </w:pPr>
    </w:p>
    <w:p w14:paraId="25DF896B"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0BA7A76A"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39CE434F"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p>
    <w:p w14:paraId="38F8F136"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14A7158"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5FEB16CE"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p>
    <w:p w14:paraId="58D6D4DF"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44B14867" w14:textId="77777777" w:rsidR="007479DD" w:rsidRPr="00C6062F" w:rsidRDefault="007479DD" w:rsidP="007479DD">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Pr="00C6062F">
        <w:rPr>
          <w:rFonts w:ascii="Times New Roman" w:eastAsia="PMingLiU" w:hAnsi="Times New Roman" w:cs="Times New Roman"/>
          <w:sz w:val="24"/>
          <w:szCs w:val="24"/>
          <w:lang w:eastAsia="zh-TW"/>
        </w:rPr>
        <w:lastRenderedPageBreak/>
        <w:t xml:space="preserve">premises.     Prices should be quoted in the unit (each, box, case, hour, flat, mile, etc.) as specified in the solicitation. </w:t>
      </w:r>
    </w:p>
    <w:p w14:paraId="603365A4"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2ECF36B2"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p>
    <w:p w14:paraId="5E7216A4"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p>
    <w:p w14:paraId="59DB7276"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52C2ED63"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statewide</w:t>
      </w:r>
      <w:r>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Pr>
          <w:rFonts w:ascii="Times New Roman" w:eastAsia="PMingLiU" w:hAnsi="Times New Roman" w:cs="Times New Roman"/>
          <w:sz w:val="24"/>
          <w:szCs w:val="24"/>
          <w:lang w:eastAsia="zh-TW"/>
        </w:rPr>
        <w:t xml:space="preserve">at reduction is offered to all </w:t>
      </w:r>
      <w:r>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1B19C49C"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46985FC0"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5E9E22BD"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73A78C44"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7DBD0436" w14:textId="77777777" w:rsidR="007479DD" w:rsidRDefault="007479DD" w:rsidP="007479DD">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57578107" w14:textId="77777777" w:rsidR="007479DD" w:rsidRDefault="007479DD" w:rsidP="007479DD">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52FDDBA8" w14:textId="77777777" w:rsidR="007479DD" w:rsidRDefault="007479DD" w:rsidP="007479DD">
      <w:pPr>
        <w:widowControl/>
        <w:spacing w:after="0" w:line="240" w:lineRule="auto"/>
        <w:jc w:val="both"/>
        <w:rPr>
          <w:rFonts w:ascii="Times New Roman" w:hAnsi="Times New Roman" w:cs="Times New Roman"/>
          <w:sz w:val="24"/>
          <w:szCs w:val="24"/>
        </w:rPr>
      </w:pPr>
    </w:p>
    <w:p w14:paraId="6FE0AE5F" w14:textId="77777777" w:rsidR="007479DD" w:rsidRPr="00DC106E" w:rsidRDefault="007479DD" w:rsidP="007479DD">
      <w:pPr>
        <w:widowControl/>
        <w:spacing w:after="0" w:line="240" w:lineRule="auto"/>
        <w:jc w:val="both"/>
        <w:rPr>
          <w:rFonts w:ascii="Times New Roman" w:hAnsi="Times New Roman" w:cs="Times New Roman"/>
          <w:b/>
          <w:sz w:val="24"/>
          <w:szCs w:val="24"/>
        </w:rPr>
      </w:pPr>
      <w:r w:rsidRPr="00DC106E">
        <w:rPr>
          <w:rFonts w:ascii="Times New Roman" w:hAnsi="Times New Roman" w:cs="Times New Roman"/>
          <w:b/>
          <w:sz w:val="24"/>
          <w:szCs w:val="24"/>
        </w:rPr>
        <w:t>Late Payments:</w:t>
      </w:r>
    </w:p>
    <w:p w14:paraId="198E5366" w14:textId="77777777" w:rsidR="007479DD" w:rsidRPr="00C6062F" w:rsidRDefault="007479DD" w:rsidP="007479DD">
      <w:pPr>
        <w:widowControl/>
        <w:spacing w:after="0" w:line="240" w:lineRule="auto"/>
        <w:jc w:val="both"/>
        <w:rPr>
          <w:rFonts w:ascii="Times New Roman" w:hAnsi="Times New Roman" w:cs="Times New Roman"/>
          <w:sz w:val="24"/>
          <w:szCs w:val="24"/>
        </w:rPr>
      </w:pPr>
      <w:r w:rsidRPr="00DC106E">
        <w:rPr>
          <w:rFonts w:ascii="Times New Roman" w:hAnsi="Times New Roman" w:cs="Times New Roman"/>
          <w:bCs/>
          <w:sz w:val="24"/>
          <w:szCs w:val="24"/>
        </w:rPr>
        <w:t>Interest due by a State Agency for late payments shall be in accordance with La. R.S. 39:1695 at the rates established in La. R.S. 13:4202.</w:t>
      </w:r>
    </w:p>
    <w:p w14:paraId="04221E4A" w14:textId="77777777" w:rsidR="007479DD" w:rsidRPr="00C6062F" w:rsidRDefault="007479DD" w:rsidP="007479DD">
      <w:pPr>
        <w:widowControl/>
        <w:spacing w:after="0" w:line="240" w:lineRule="auto"/>
        <w:jc w:val="both"/>
        <w:rPr>
          <w:rFonts w:ascii="Times New Roman" w:hAnsi="Times New Roman" w:cs="Times New Roman"/>
          <w:sz w:val="24"/>
          <w:szCs w:val="24"/>
        </w:rPr>
      </w:pPr>
    </w:p>
    <w:p w14:paraId="2BF0B322" w14:textId="77777777" w:rsidR="007479DD" w:rsidRDefault="007479DD" w:rsidP="007479DD">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4C14E64F" w14:textId="77777777" w:rsidR="007479DD" w:rsidRPr="00C6062F" w:rsidRDefault="007479DD" w:rsidP="007479DD">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58D43F10" w14:textId="77777777" w:rsidR="007479DD" w:rsidRPr="00C6062F" w:rsidRDefault="007479DD" w:rsidP="007479DD">
      <w:pPr>
        <w:widowControl/>
        <w:spacing w:after="0" w:line="240" w:lineRule="auto"/>
        <w:jc w:val="both"/>
        <w:rPr>
          <w:rFonts w:ascii="Times New Roman" w:hAnsi="Times New Roman" w:cs="Times New Roman"/>
          <w:sz w:val="24"/>
          <w:szCs w:val="24"/>
        </w:rPr>
      </w:pPr>
    </w:p>
    <w:p w14:paraId="618424E6" w14:textId="77777777" w:rsidR="007479DD" w:rsidRDefault="007479DD" w:rsidP="007479DD">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25886E76" w14:textId="77777777" w:rsidR="007479DD" w:rsidRPr="00C6062F" w:rsidRDefault="007479DD" w:rsidP="007479DD">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7E0275B6" w14:textId="77777777" w:rsidR="007479DD" w:rsidRDefault="007479DD" w:rsidP="007479DD">
      <w:pPr>
        <w:widowControl/>
        <w:spacing w:after="0" w:line="240" w:lineRule="auto"/>
        <w:jc w:val="both"/>
        <w:rPr>
          <w:rFonts w:ascii="Times New Roman" w:hAnsi="Times New Roman" w:cs="Times New Roman"/>
          <w:sz w:val="24"/>
          <w:szCs w:val="24"/>
        </w:rPr>
      </w:pPr>
    </w:p>
    <w:p w14:paraId="3F6AC6F2" w14:textId="77777777" w:rsidR="007479DD" w:rsidRDefault="007479DD" w:rsidP="007479DD">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Contractor must immediately notify the Office of State Procurement when any dealer on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w:t>
      </w:r>
      <w:r>
        <w:rPr>
          <w:rFonts w:ascii="Times New Roman" w:hAnsi="Times New Roman" w:cs="Times New Roman"/>
          <w:sz w:val="24"/>
          <w:szCs w:val="24"/>
        </w:rPr>
        <w:t>ce of State Procurement.  The bidder</w:t>
      </w:r>
      <w:r w:rsidRPr="00C6062F">
        <w:rPr>
          <w:rFonts w:ascii="Times New Roman" w:hAnsi="Times New Roman" w:cs="Times New Roman"/>
          <w:sz w:val="24"/>
          <w:szCs w:val="24"/>
        </w:rPr>
        <w:t xml:space="preserve"> should include with bid a list </w:t>
      </w:r>
      <w:r w:rsidRPr="00C6062F">
        <w:rPr>
          <w:rFonts w:ascii="Times New Roman" w:hAnsi="Times New Roman" w:cs="Times New Roman"/>
          <w:sz w:val="24"/>
          <w:szCs w:val="24"/>
        </w:rPr>
        <w:lastRenderedPageBreak/>
        <w:t xml:space="preserve">of all persons, in addition to the signer of the bid, who are authorized to request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w:t>
      </w:r>
    </w:p>
    <w:p w14:paraId="7E5F0741" w14:textId="77777777" w:rsidR="007479DD" w:rsidRPr="00992C01" w:rsidRDefault="007479DD" w:rsidP="007479DD">
      <w:pPr>
        <w:widowControl/>
        <w:spacing w:after="0" w:line="240" w:lineRule="auto"/>
        <w:jc w:val="both"/>
        <w:rPr>
          <w:rFonts w:ascii="Times New Roman" w:hAnsi="Times New Roman" w:cs="Times New Roman"/>
          <w:sz w:val="24"/>
          <w:szCs w:val="24"/>
        </w:rPr>
      </w:pPr>
    </w:p>
    <w:p w14:paraId="1EA6448C" w14:textId="77777777" w:rsidR="007479DD" w:rsidRDefault="007479DD" w:rsidP="007479DD">
      <w:pPr>
        <w:widowControl/>
        <w:spacing w:after="0" w:line="240" w:lineRule="auto"/>
        <w:jc w:val="both"/>
        <w:rPr>
          <w:rFonts w:ascii="Times New Roman" w:hAnsi="Times New Roman" w:cs="Times New Roman"/>
          <w:b/>
          <w:sz w:val="24"/>
          <w:szCs w:val="24"/>
        </w:rPr>
      </w:pPr>
    </w:p>
    <w:p w14:paraId="6BA0731E" w14:textId="77777777" w:rsidR="007479DD" w:rsidRDefault="007479DD" w:rsidP="007479DD">
      <w:pPr>
        <w:widowControl/>
        <w:spacing w:after="0" w:line="240" w:lineRule="auto"/>
        <w:jc w:val="both"/>
        <w:rPr>
          <w:rFonts w:ascii="Times New Roman" w:hAnsi="Times New Roman" w:cs="Times New Roman"/>
          <w:b/>
          <w:sz w:val="24"/>
          <w:szCs w:val="24"/>
        </w:rPr>
      </w:pPr>
    </w:p>
    <w:p w14:paraId="056D31F3" w14:textId="77777777" w:rsidR="007479DD" w:rsidRDefault="007479DD" w:rsidP="007479DD">
      <w:pPr>
        <w:widowControl/>
        <w:spacing w:after="0" w:line="240" w:lineRule="auto"/>
        <w:jc w:val="both"/>
        <w:rPr>
          <w:rFonts w:ascii="Times New Roman" w:hAnsi="Times New Roman" w:cs="Times New Roman"/>
          <w:b/>
          <w:sz w:val="24"/>
          <w:szCs w:val="24"/>
        </w:rPr>
      </w:pPr>
    </w:p>
    <w:p w14:paraId="4921E80E" w14:textId="77777777" w:rsidR="007479DD" w:rsidRDefault="007479DD" w:rsidP="007479DD">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34D04471" w14:textId="77777777" w:rsidR="007479DD" w:rsidRDefault="007479DD" w:rsidP="007479DD">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55955212" w14:textId="1AEAA894" w:rsidR="007479DD" w:rsidRPr="00C6062F" w:rsidRDefault="007479DD" w:rsidP="007479DD">
      <w:pPr>
        <w:widowControl/>
        <w:spacing w:after="0" w:line="240" w:lineRule="auto"/>
        <w:jc w:val="both"/>
        <w:rPr>
          <w:rFonts w:ascii="Times New Roman" w:hAnsi="Times New Roman" w:cs="Times New Roman"/>
          <w:sz w:val="24"/>
          <w:szCs w:val="24"/>
        </w:rPr>
      </w:pPr>
    </w:p>
    <w:p w14:paraId="5C7A53FB"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5BF49D0C"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Pr>
          <w:rFonts w:ascii="Times New Roman" w:eastAsia="PMingLiU" w:hAnsi="Times New Roman" w:cs="Times New Roman"/>
          <w:sz w:val="24"/>
          <w:szCs w:val="24"/>
          <w:lang w:eastAsia="zh-TW"/>
        </w:rPr>
        <w:t>ontract may be extended for two additional 12 month periods at the same discounts</w:t>
      </w:r>
      <w:r w:rsidRPr="00C6062F">
        <w:rPr>
          <w:rFonts w:ascii="Times New Roman" w:eastAsia="PMingLiU" w:hAnsi="Times New Roman" w:cs="Times New Roman"/>
          <w:sz w:val="24"/>
          <w:szCs w:val="24"/>
          <w:lang w:eastAsia="zh-TW"/>
        </w:rPr>
        <w:t xml:space="preserve">, terms and conditions.  Total contract </w:t>
      </w:r>
      <w:r>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5239BF88" w14:textId="77777777" w:rsidR="007479DD" w:rsidRPr="00992C01" w:rsidRDefault="007479DD" w:rsidP="007479DD">
      <w:pPr>
        <w:widowControl/>
        <w:spacing w:after="0" w:line="240" w:lineRule="auto"/>
        <w:jc w:val="both"/>
        <w:rPr>
          <w:rFonts w:ascii="Times New Roman" w:eastAsia="PMingLiU" w:hAnsi="Times New Roman" w:cs="Times New Roman"/>
          <w:sz w:val="24"/>
          <w:szCs w:val="24"/>
          <w:lang w:eastAsia="zh-TW"/>
        </w:rPr>
      </w:pPr>
    </w:p>
    <w:p w14:paraId="0C75AD02"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197AEF16"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1C32CBCD"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63C142C6"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082B94D4"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State 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0AF935E7"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15958AD4" w14:textId="77777777" w:rsidR="007479DD" w:rsidRPr="00C6062F" w:rsidRDefault="007479DD" w:rsidP="007479D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24FBAB6D"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65EC4837"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349B5B18"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47027DE3"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45A442F5" w14:textId="77777777" w:rsidR="007479DD" w:rsidRPr="00C6062F" w:rsidRDefault="007479DD" w:rsidP="007479DD">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49A99482"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09B32176" w14:textId="77777777" w:rsidR="007479DD" w:rsidRPr="00C6062F" w:rsidRDefault="007479DD" w:rsidP="007479DD">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Pr>
          <w:rFonts w:ascii="Times New Roman" w:eastAsia="PMingLiU" w:hAnsi="Times New Roman" w:cs="Times New Roman"/>
          <w:sz w:val="24"/>
          <w:szCs w:val="24"/>
          <w:lang w:eastAsia="zh-TW"/>
        </w:rPr>
        <w:t>r any Political Subdivision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3817645D"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74721BF9" w14:textId="77777777" w:rsidR="007479DD" w:rsidRDefault="007479DD" w:rsidP="007479DD">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58A817A4" w14:textId="77777777" w:rsidR="007479DD" w:rsidRPr="00C54097" w:rsidRDefault="007479DD" w:rsidP="007479DD">
      <w:pPr>
        <w:widowControl/>
        <w:spacing w:after="0" w:line="240" w:lineRule="auto"/>
        <w:contextualSpacing/>
        <w:jc w:val="both"/>
        <w:rPr>
          <w:rFonts w:ascii="Times New Roman" w:eastAsia="PMingLiU" w:hAnsi="Times New Roman" w:cs="Times New Roman"/>
          <w:sz w:val="24"/>
          <w:szCs w:val="24"/>
          <w:lang w:eastAsia="zh-TW"/>
        </w:rPr>
      </w:pPr>
    </w:p>
    <w:p w14:paraId="439FD5E8"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65DDEB43"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0D975C35"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02B92231"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1361697A"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1B181F3A"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p>
    <w:p w14:paraId="0772BD81" w14:textId="77777777" w:rsidR="007479DD" w:rsidRPr="00B721A3" w:rsidRDefault="007479DD" w:rsidP="007479DD">
      <w:pPr>
        <w:pStyle w:val="Default"/>
        <w:jc w:val="both"/>
        <w:rPr>
          <w:color w:val="auto"/>
          <w:lang w:eastAsia="zh-TW"/>
        </w:rPr>
      </w:pPr>
      <w:r w:rsidRPr="008977B9">
        <w:rPr>
          <w:color w:val="auto"/>
          <w:lang w:eastAsia="zh-TW"/>
        </w:rPr>
        <w:t xml:space="preserve">Any entity that is interested in using </w:t>
      </w:r>
      <w:r>
        <w:rPr>
          <w:color w:val="auto"/>
          <w:lang w:eastAsia="zh-TW"/>
        </w:rPr>
        <w:t>the</w:t>
      </w:r>
      <w:r w:rsidRPr="008977B9">
        <w:rPr>
          <w:color w:val="auto"/>
          <w:lang w:eastAsia="zh-TW"/>
        </w:rPr>
        <w:t xml:space="preserve"> contract must contact the Office of State Procurement.  The State reserves the right of refusal to extend </w:t>
      </w:r>
      <w:r>
        <w:rPr>
          <w:color w:val="auto"/>
          <w:lang w:eastAsia="zh-TW"/>
        </w:rPr>
        <w:t>the</w:t>
      </w:r>
      <w:r w:rsidRPr="008977B9">
        <w:rPr>
          <w:color w:val="auto"/>
          <w:lang w:eastAsia="zh-TW"/>
        </w:rPr>
        <w:t xml:space="preserve"> contract to other </w:t>
      </w:r>
      <w:r>
        <w:rPr>
          <w:color w:val="auto"/>
          <w:lang w:eastAsia="zh-TW"/>
        </w:rPr>
        <w:t>A</w:t>
      </w:r>
      <w:r w:rsidRPr="008977B9">
        <w:rPr>
          <w:color w:val="auto"/>
          <w:lang w:eastAsia="zh-TW"/>
        </w:rPr>
        <w:t xml:space="preserve">gencies and use of </w:t>
      </w:r>
      <w:r>
        <w:rPr>
          <w:color w:val="auto"/>
          <w:lang w:eastAsia="zh-TW"/>
        </w:rPr>
        <w:t>the</w:t>
      </w:r>
      <w:r w:rsidRPr="008977B9">
        <w:rPr>
          <w:color w:val="auto"/>
          <w:lang w:eastAsia="zh-TW"/>
        </w:rPr>
        <w:t xml:space="preserve"> contract will require prior approval by the State.</w:t>
      </w:r>
      <w:r w:rsidRPr="00D46160">
        <w:rPr>
          <w:color w:val="auto"/>
          <w:lang w:eastAsia="zh-TW"/>
        </w:rPr>
        <w:t xml:space="preserve">  </w:t>
      </w:r>
    </w:p>
    <w:p w14:paraId="57DCB1A3"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p>
    <w:p w14:paraId="4897A7C3"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7D0BACBE"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43EEEB1C"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FBE7534"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08A3122D"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2FD0A5B"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Pr="00217E58">
        <w:rPr>
          <w:rFonts w:ascii="Times New Roman" w:eastAsia="Times New Roman" w:hAnsi="Times New Roman" w:cs="Times New Roman"/>
          <w:color w:val="000000"/>
          <w:sz w:val="24"/>
          <w:szCs w:val="24"/>
        </w:rPr>
        <w:t>ontracts:</w:t>
      </w:r>
    </w:p>
    <w:p w14:paraId="7083463B" w14:textId="77777777" w:rsidR="007479DD" w:rsidRPr="00217E58" w:rsidRDefault="007479DD" w:rsidP="007479DD">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772A4B54" w14:textId="77777777" w:rsidR="007479DD" w:rsidRPr="00217E58" w:rsidRDefault="007479DD" w:rsidP="007479DD">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C98C622" w14:textId="77777777" w:rsidR="007479DD" w:rsidRPr="00217E58" w:rsidRDefault="007479DD" w:rsidP="007479DD">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7BF5E07D"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2B208F5"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w:t>
      </w:r>
      <w:r w:rsidRPr="00217E58">
        <w:rPr>
          <w:rFonts w:ascii="Times New Roman" w:eastAsia="Times New Roman" w:hAnsi="Times New Roman" w:cs="Times New Roman"/>
          <w:color w:val="000000"/>
          <w:sz w:val="24"/>
          <w:szCs w:val="24"/>
        </w:rPr>
        <w:lastRenderedPageBreak/>
        <w:t xml:space="preserve">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230E6810"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ABAE51B" w14:textId="77777777" w:rsidR="007479DD"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6EF43EF5" w14:textId="77777777" w:rsidR="007479DD"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B202A7A" w14:textId="77777777" w:rsidR="007479DD" w:rsidRPr="00B26CF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0C0A4C56" w14:textId="77777777" w:rsidR="007479DD"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021F33B2" w14:textId="77777777" w:rsidR="007479DD"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020EECD7"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11A097ED"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58F122D4"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5D1F906"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534B32EB"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6ED561D"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5A0D49DC"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4AD76705" w14:textId="77777777" w:rsidR="007479DD"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4980C73"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8226542"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7A934168"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7E4127F7"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4A7323B"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3D3ED2E2" w14:textId="77777777" w:rsidR="007479DD" w:rsidRPr="00217E58"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2E2CEC96" w14:textId="77777777" w:rsidR="007479DD" w:rsidRPr="00C6062F" w:rsidRDefault="007479DD" w:rsidP="007479DD">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C7D1115"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35051D42" w14:textId="77777777" w:rsidR="007479DD" w:rsidRPr="00D83855" w:rsidRDefault="007479DD" w:rsidP="007479D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20404385"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5C6B1749" w14:textId="77777777" w:rsidR="007479DD" w:rsidRPr="00D83855" w:rsidRDefault="007479DD" w:rsidP="007479D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136940C9"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47E71CC3" w14:textId="77777777" w:rsidR="007479DD" w:rsidRPr="00D83855" w:rsidRDefault="007479DD" w:rsidP="007479D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Pr>
          <w:rFonts w:ascii="Times New Roman" w:eastAsia="PMingLiU" w:hAnsi="Times New Roman" w:cs="Times New Roman"/>
          <w:sz w:val="24"/>
          <w:szCs w:val="24"/>
          <w:lang w:eastAsia="zh-TW"/>
        </w:rPr>
        <w:t>you certify that at least 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08473218"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p>
    <w:p w14:paraId="2E59809C" w14:textId="77777777" w:rsidR="007479DD" w:rsidRPr="00AB3589" w:rsidRDefault="007479DD" w:rsidP="007479D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3AA7BBDC"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p>
    <w:p w14:paraId="4FDEC2EF" w14:textId="77777777" w:rsidR="007479DD" w:rsidRDefault="007479DD" w:rsidP="007479D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2FE926C3" w14:textId="77777777" w:rsidR="007479DD" w:rsidRDefault="007479DD" w:rsidP="007479D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1E80DBD0" w14:textId="77777777" w:rsidR="007479DD" w:rsidRPr="006A157C" w:rsidRDefault="007479DD" w:rsidP="007479D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507D6D4A"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76D68898" w14:textId="77777777" w:rsidR="007479DD" w:rsidRDefault="007479DD" w:rsidP="007479DD">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1F4331D2"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p>
    <w:p w14:paraId="6FDB0FD7" w14:textId="77777777" w:rsidR="007479DD" w:rsidRDefault="007479DD" w:rsidP="007479D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41FBA10B"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6D5DF93C" w14:textId="77777777" w:rsidR="007479DD" w:rsidRPr="00AB3589" w:rsidRDefault="007479DD" w:rsidP="007479D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Pr>
          <w:rFonts w:ascii="Times New Roman" w:eastAsia="PMingLiU" w:hAnsi="Times New Roman" w:cs="Times New Roman"/>
          <w:sz w:val="24"/>
          <w:szCs w:val="24"/>
          <w:lang w:eastAsia="zh-TW"/>
        </w:rPr>
        <w:t xml:space="preserve"> by more than 7%</w:t>
      </w:r>
      <w:r w:rsidRPr="00AB3589">
        <w:rPr>
          <w:rFonts w:ascii="Times New Roman" w:eastAsia="PMingLiU" w:hAnsi="Times New Roman" w:cs="Times New Roman"/>
          <w:sz w:val="24"/>
          <w:szCs w:val="24"/>
          <w:lang w:eastAsia="zh-TW"/>
        </w:rPr>
        <w:t>.</w:t>
      </w:r>
    </w:p>
    <w:p w14:paraId="492F759F"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p>
    <w:p w14:paraId="3CC0344C" w14:textId="77777777" w:rsidR="007479DD" w:rsidRDefault="007479DD" w:rsidP="007479D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34A311CA"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p>
    <w:p w14:paraId="6EEE457A" w14:textId="77777777" w:rsidR="007479DD" w:rsidRDefault="007479DD" w:rsidP="007479D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45EC4405" w14:textId="77777777" w:rsidR="007479DD" w:rsidRDefault="007479DD" w:rsidP="007479DD">
      <w:pPr>
        <w:widowControl/>
        <w:spacing w:after="0" w:line="240" w:lineRule="auto"/>
        <w:ind w:firstLine="360"/>
        <w:jc w:val="both"/>
        <w:rPr>
          <w:rFonts w:ascii="Times New Roman" w:eastAsia="PMingLiU" w:hAnsi="Times New Roman" w:cs="Times New Roman"/>
          <w:sz w:val="24"/>
          <w:szCs w:val="24"/>
          <w:lang w:eastAsia="zh-TW"/>
        </w:rPr>
      </w:pPr>
    </w:p>
    <w:p w14:paraId="13FA4079" w14:textId="77777777" w:rsidR="007479DD" w:rsidRDefault="007479DD" w:rsidP="007479D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02880E78" w14:textId="77777777" w:rsidR="007479DD" w:rsidRDefault="007479DD" w:rsidP="007479D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389FC106"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63BCDC32"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p>
    <w:p w14:paraId="5F5852EA" w14:textId="77777777" w:rsidR="007479DD" w:rsidRDefault="007479DD" w:rsidP="007479D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5A71B24C"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p>
    <w:p w14:paraId="56D1FEE6" w14:textId="77777777" w:rsidR="007479DD" w:rsidRDefault="007479DD" w:rsidP="007479D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512CAFF8" w14:textId="77777777" w:rsidR="007479DD" w:rsidRDefault="007479DD" w:rsidP="007479D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3A67A4F2" w14:textId="77777777" w:rsidR="007479DD" w:rsidRDefault="007479DD" w:rsidP="007479D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352FA850" w14:textId="77777777" w:rsidR="007479DD" w:rsidRPr="00D83855" w:rsidRDefault="007479DD" w:rsidP="007479DD">
      <w:pPr>
        <w:widowControl/>
        <w:spacing w:after="0" w:line="240" w:lineRule="auto"/>
        <w:ind w:left="720"/>
        <w:jc w:val="both"/>
        <w:rPr>
          <w:rFonts w:ascii="Times New Roman" w:eastAsia="PMingLiU" w:hAnsi="Times New Roman" w:cs="Times New Roman"/>
          <w:sz w:val="24"/>
          <w:szCs w:val="24"/>
          <w:lang w:eastAsia="zh-TW"/>
        </w:rPr>
      </w:pPr>
    </w:p>
    <w:p w14:paraId="0058DB16" w14:textId="77777777" w:rsidR="007479DD" w:rsidRPr="00D83855" w:rsidRDefault="007479DD" w:rsidP="007479D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6BD97C2F" w14:textId="77777777" w:rsidR="007479DD" w:rsidRPr="00D83855" w:rsidRDefault="007479DD" w:rsidP="007479DD">
      <w:pPr>
        <w:widowControl/>
        <w:spacing w:after="0" w:line="240" w:lineRule="auto"/>
        <w:ind w:left="720"/>
        <w:jc w:val="both"/>
        <w:rPr>
          <w:rFonts w:ascii="Times New Roman" w:eastAsia="PMingLiU" w:hAnsi="Times New Roman" w:cs="Times New Roman"/>
          <w:sz w:val="24"/>
          <w:szCs w:val="24"/>
          <w:lang w:eastAsia="zh-TW"/>
        </w:rPr>
      </w:pPr>
    </w:p>
    <w:p w14:paraId="117E02D3" w14:textId="77777777" w:rsidR="007479DD" w:rsidRPr="00D83855" w:rsidRDefault="007479DD" w:rsidP="007479D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2A3F2229" w14:textId="77777777" w:rsidR="007479DD" w:rsidRPr="00D83855" w:rsidRDefault="007479DD" w:rsidP="007479DD">
      <w:pPr>
        <w:widowControl/>
        <w:spacing w:after="0" w:line="240" w:lineRule="auto"/>
        <w:ind w:left="720"/>
        <w:jc w:val="both"/>
        <w:rPr>
          <w:rFonts w:ascii="Times New Roman" w:eastAsia="PMingLiU" w:hAnsi="Times New Roman" w:cs="Times New Roman"/>
          <w:sz w:val="24"/>
          <w:szCs w:val="24"/>
          <w:lang w:eastAsia="zh-TW"/>
        </w:rPr>
      </w:pPr>
    </w:p>
    <w:p w14:paraId="530E39A3" w14:textId="77777777" w:rsidR="007479DD" w:rsidRPr="00D83855" w:rsidRDefault="007479DD" w:rsidP="007479D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63C60BA3" w14:textId="77777777" w:rsidR="007479DD" w:rsidRPr="00D83855" w:rsidRDefault="007479DD" w:rsidP="007479D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3FB95BDC"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4505D320" w14:textId="77777777" w:rsidR="007479DD" w:rsidRDefault="007479DD" w:rsidP="007479DD">
      <w:pPr>
        <w:widowControl/>
        <w:spacing w:after="0" w:line="240" w:lineRule="auto"/>
        <w:ind w:left="990" w:hanging="990"/>
        <w:jc w:val="both"/>
        <w:rPr>
          <w:rFonts w:ascii="Times New Roman" w:eastAsia="PMingLiU" w:hAnsi="Times New Roman" w:cs="Times New Roman"/>
          <w:b/>
          <w:sz w:val="24"/>
          <w:szCs w:val="24"/>
          <w:lang w:eastAsia="zh-TW"/>
        </w:rPr>
      </w:pPr>
    </w:p>
    <w:p w14:paraId="0B81420D" w14:textId="77777777" w:rsidR="007479DD" w:rsidRDefault="007479DD" w:rsidP="007479DD">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78CFB4E0" w14:textId="77777777" w:rsidR="007479DD" w:rsidRDefault="007479DD" w:rsidP="007479DD">
      <w:pPr>
        <w:widowControl/>
        <w:spacing w:after="0" w:line="240" w:lineRule="auto"/>
        <w:ind w:left="990" w:hanging="990"/>
        <w:jc w:val="both"/>
        <w:rPr>
          <w:rFonts w:ascii="Times New Roman" w:eastAsia="PMingLiU" w:hAnsi="Times New Roman" w:cs="Times New Roman"/>
          <w:sz w:val="24"/>
          <w:szCs w:val="24"/>
          <w:lang w:eastAsia="zh-TW"/>
        </w:rPr>
      </w:pPr>
    </w:p>
    <w:p w14:paraId="535AF281"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631625E3"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63B86C4D"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351FA2F6"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19BB7ACE"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4862F698"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179B032E"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30D5CD02"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3) In cases where more than one b</w:t>
      </w:r>
      <w:r w:rsidRPr="00C6062F">
        <w:rPr>
          <w:rFonts w:ascii="Times New Roman" w:eastAsia="PMingLiU" w:hAnsi="Times New Roman" w:cs="Times New Roman"/>
          <w:sz w:val="24"/>
          <w:szCs w:val="24"/>
          <w:lang w:eastAsia="zh-TW"/>
        </w:rPr>
        <w:t>idder offers items manufactured in the United State</w:t>
      </w:r>
      <w:r>
        <w:rPr>
          <w:rFonts w:ascii="Times New Roman" w:eastAsia="PMingLiU" w:hAnsi="Times New Roman" w:cs="Times New Roman"/>
          <w:sz w:val="24"/>
          <w:szCs w:val="24"/>
          <w:lang w:eastAsia="zh-TW"/>
        </w:rPr>
        <w:t>s which are within 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1526A2A4"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063A2A0D"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006BD83E"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445379BF"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51726935"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2D3AECDF"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489DFFF4"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7070FE6B"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39DD335A"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7607CD7F"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24637E1E"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17EA1DD7"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0B878BE3"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6A0E4194"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3FF6BADC"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776B5991"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6C581319"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09E19701"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2E6AAAA6"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4D217F5D"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Pr>
          <w:rFonts w:ascii="Times New Roman" w:eastAsia="PMingLiU" w:hAnsi="Times New Roman" w:cs="Times New Roman"/>
          <w:sz w:val="24"/>
          <w:szCs w:val="24"/>
          <w:lang w:eastAsia="zh-TW"/>
        </w:rPr>
        <w:t xml:space="preserve">st be submitted within 5 business </w:t>
      </w:r>
      <w:r w:rsidRPr="00C6062F">
        <w:rPr>
          <w:rFonts w:ascii="Times New Roman" w:eastAsia="PMingLiU" w:hAnsi="Times New Roman" w:cs="Times New Roman"/>
          <w:sz w:val="24"/>
          <w:szCs w:val="24"/>
          <w:lang w:eastAsia="zh-TW"/>
        </w:rPr>
        <w:t>days of written request.</w:t>
      </w:r>
    </w:p>
    <w:p w14:paraId="1920038E"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7C352038"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1D22090B"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p>
    <w:p w14:paraId="3DC1B8D9"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4BDD2C1B"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p>
    <w:p w14:paraId="7EF1E863"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216D2357" w14:textId="77777777" w:rsidR="007479DD" w:rsidRPr="00C6062F"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This agreement is non-exclusive and</w:t>
      </w:r>
      <w:r>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72F1805E"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p>
    <w:p w14:paraId="35D68618"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01E30896"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7DCD0900" w14:textId="77777777" w:rsidR="007479DD" w:rsidRDefault="007479DD" w:rsidP="007479DD">
      <w:pPr>
        <w:widowControl/>
        <w:spacing w:after="0" w:line="240" w:lineRule="auto"/>
        <w:jc w:val="both"/>
        <w:rPr>
          <w:rFonts w:ascii="Times New Roman" w:eastAsia="PMingLiU" w:hAnsi="Times New Roman" w:cs="Times New Roman"/>
          <w:b/>
          <w:bCs/>
          <w:sz w:val="24"/>
          <w:szCs w:val="24"/>
          <w:lang w:eastAsia="zh-TW"/>
        </w:rPr>
      </w:pPr>
    </w:p>
    <w:p w14:paraId="3DDF5324" w14:textId="77777777" w:rsidR="007479DD" w:rsidRDefault="007479DD" w:rsidP="007479DD">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Record Retention:</w:t>
      </w:r>
    </w:p>
    <w:p w14:paraId="3B856C83" w14:textId="77777777" w:rsidR="007479DD" w:rsidRDefault="007479DD" w:rsidP="007479DD">
      <w:pPr>
        <w:widowControl/>
        <w:spacing w:after="0" w:line="240" w:lineRule="auto"/>
        <w:jc w:val="both"/>
        <w:rPr>
          <w:rFonts w:ascii="Times New Roman" w:eastAsia="PMingLiU" w:hAnsi="Times New Roman" w:cs="Times New Roman"/>
          <w:bCs/>
          <w:sz w:val="24"/>
          <w:szCs w:val="24"/>
          <w:lang w:eastAsia="zh-TW"/>
        </w:rPr>
      </w:pPr>
      <w:r w:rsidRPr="000B1A8B">
        <w:rPr>
          <w:rFonts w:ascii="Times New Roman" w:eastAsia="PMingLiU" w:hAnsi="Times New Roman" w:cs="Times New Roman"/>
          <w:bCs/>
          <w:sz w:val="24"/>
          <w:szCs w:val="24"/>
          <w:lang w:eastAsia="zh-TW"/>
        </w:rPr>
        <w:t>T</w:t>
      </w:r>
      <w:r w:rsidRPr="001863D5">
        <w:rPr>
          <w:rFonts w:ascii="Times New Roman" w:eastAsia="PMingLiU" w:hAnsi="Times New Roman" w:cs="Times New Roman"/>
          <w:bCs/>
          <w:sz w:val="24"/>
          <w:szCs w:val="24"/>
          <w:lang w:eastAsia="zh-TW"/>
        </w:rPr>
        <w:t>he successful vendor shall retain all books, records, and other relevant documents associated with the contract for at least 5 years after final payment.</w:t>
      </w:r>
    </w:p>
    <w:p w14:paraId="08A0AEAA" w14:textId="77777777" w:rsidR="007479DD" w:rsidRDefault="007479DD" w:rsidP="007479DD">
      <w:pPr>
        <w:widowControl/>
        <w:spacing w:after="0" w:line="240" w:lineRule="auto"/>
        <w:jc w:val="both"/>
        <w:rPr>
          <w:rFonts w:ascii="Times New Roman" w:eastAsia="PMingLiU" w:hAnsi="Times New Roman" w:cs="Times New Roman"/>
          <w:bCs/>
          <w:sz w:val="24"/>
          <w:szCs w:val="24"/>
          <w:lang w:eastAsia="zh-TW"/>
        </w:rPr>
      </w:pPr>
    </w:p>
    <w:p w14:paraId="175977C4" w14:textId="77777777" w:rsidR="007479DD" w:rsidRPr="008968FD" w:rsidRDefault="007479DD" w:rsidP="007479DD">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Right to Audit:</w:t>
      </w:r>
    </w:p>
    <w:p w14:paraId="5E546308" w14:textId="77777777" w:rsidR="007479DD" w:rsidRPr="001863D5" w:rsidRDefault="007479DD" w:rsidP="007479DD">
      <w:pPr>
        <w:widowControl/>
        <w:spacing w:after="0" w:line="240" w:lineRule="auto"/>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The State Legislative Auditor, F</w:t>
      </w:r>
      <w:r w:rsidRPr="001863D5">
        <w:rPr>
          <w:rFonts w:ascii="Times New Roman" w:eastAsia="PMingLiU" w:hAnsi="Times New Roman" w:cs="Times New Roman"/>
          <w:bCs/>
          <w:sz w:val="24"/>
          <w:szCs w:val="24"/>
          <w:lang w:eastAsia="zh-TW"/>
        </w:rPr>
        <w:t>ed</w:t>
      </w:r>
      <w:r>
        <w:rPr>
          <w:rFonts w:ascii="Times New Roman" w:eastAsia="PMingLiU" w:hAnsi="Times New Roman" w:cs="Times New Roman"/>
          <w:bCs/>
          <w:sz w:val="24"/>
          <w:szCs w:val="24"/>
          <w:lang w:eastAsia="zh-TW"/>
        </w:rPr>
        <w:t>eral Auditors and Internal A</w:t>
      </w:r>
      <w:r w:rsidRPr="001863D5">
        <w:rPr>
          <w:rFonts w:ascii="Times New Roman" w:eastAsia="PMingLiU" w:hAnsi="Times New Roman" w:cs="Times New Roman"/>
          <w:bCs/>
          <w:sz w:val="24"/>
          <w:szCs w:val="24"/>
          <w:lang w:eastAsia="zh-TW"/>
        </w:rPr>
        <w:t>uditors of the Division of Administration, or others so designated by the DOA, shall have the option to audit all accounts directly pertaining to th</w:t>
      </w:r>
      <w:r>
        <w:rPr>
          <w:rFonts w:ascii="Times New Roman" w:eastAsia="PMingLiU" w:hAnsi="Times New Roman" w:cs="Times New Roman"/>
          <w:bCs/>
          <w:sz w:val="24"/>
          <w:szCs w:val="24"/>
          <w:lang w:eastAsia="zh-TW"/>
        </w:rPr>
        <w:t>e contract for a period of five</w:t>
      </w:r>
      <w:r w:rsidRPr="001863D5">
        <w:rPr>
          <w:rFonts w:ascii="Times New Roman" w:eastAsia="PMingLiU" w:hAnsi="Times New Roman" w:cs="Times New Roman"/>
          <w:bCs/>
          <w:sz w:val="24"/>
          <w:szCs w:val="24"/>
          <w:lang w:eastAsia="zh-TW"/>
        </w:rPr>
        <w:t xml:space="preserve"> years from the date of final payment or as required by applicable State and Federal Law.  Records shall be made available during normal working hours for this purpose.</w:t>
      </w:r>
    </w:p>
    <w:p w14:paraId="66681906"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p>
    <w:p w14:paraId="4294E355" w14:textId="77777777" w:rsidR="007479DD" w:rsidRDefault="007479DD" w:rsidP="007479D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4E1F9C9" w14:textId="77777777"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4C387FEA" w14:textId="77777777" w:rsidR="007479DD" w:rsidRPr="00C54097" w:rsidRDefault="007479DD" w:rsidP="007479DD">
      <w:pPr>
        <w:widowControl/>
        <w:spacing w:after="0" w:line="240" w:lineRule="auto"/>
        <w:jc w:val="both"/>
        <w:rPr>
          <w:rFonts w:ascii="Times New Roman" w:eastAsia="PMingLiU" w:hAnsi="Times New Roman" w:cs="Times New Roman"/>
          <w:sz w:val="24"/>
          <w:szCs w:val="24"/>
          <w:lang w:eastAsia="zh-TW"/>
        </w:rPr>
      </w:pPr>
    </w:p>
    <w:p w14:paraId="2E90236D" w14:textId="77777777" w:rsidR="007479DD" w:rsidRPr="00D179C5" w:rsidRDefault="007479DD" w:rsidP="007479DD">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6AABEA41" w14:textId="77777777" w:rsidR="007479DD" w:rsidRPr="00D179C5" w:rsidRDefault="007479DD" w:rsidP="007479DD">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e State shall be due a minimum 1</w:t>
      </w:r>
      <w:r w:rsidRPr="00D179C5">
        <w:rPr>
          <w:rFonts w:ascii="Times New Roman" w:eastAsia="Times New Roman" w:hAnsi="Times New Roman" w:cs="Times New Roman"/>
          <w:color w:val="000000"/>
          <w:sz w:val="24"/>
          <w:szCs w:val="24"/>
        </w:rPr>
        <w:t xml:space="preserve"> % administrative fee to be payable to the State of Louisiana, Office of State Procurement (OSP) in exchange for the management and facilitation of the contract(s) resulting from this solicitation.  The calculation of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receiving contract pricing result</w:t>
      </w:r>
      <w:r>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6046C1C3" w14:textId="77777777" w:rsidR="007479DD" w:rsidRPr="00D179C5" w:rsidRDefault="007479DD" w:rsidP="007479DD">
      <w:pPr>
        <w:spacing w:after="0" w:line="240" w:lineRule="auto"/>
        <w:jc w:val="both"/>
        <w:rPr>
          <w:rFonts w:ascii="Times New Roman" w:eastAsia="Times New Roman" w:hAnsi="Times New Roman" w:cs="Times New Roman"/>
          <w:color w:val="000000"/>
          <w:sz w:val="24"/>
          <w:szCs w:val="24"/>
        </w:rPr>
      </w:pPr>
    </w:p>
    <w:p w14:paraId="1584433D" w14:textId="77777777" w:rsidR="007479DD" w:rsidRPr="003A7779" w:rsidRDefault="007479DD" w:rsidP="007479DD">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0E143622" w14:textId="77777777" w:rsidR="007479DD" w:rsidRPr="00D179C5" w:rsidRDefault="007479DD" w:rsidP="007479DD">
      <w:pPr>
        <w:spacing w:after="0" w:line="240" w:lineRule="auto"/>
        <w:jc w:val="both"/>
        <w:rPr>
          <w:rFonts w:ascii="Times New Roman" w:eastAsia="Times New Roman" w:hAnsi="Times New Roman" w:cs="Times New Roman"/>
          <w:color w:val="000000"/>
          <w:sz w:val="24"/>
          <w:szCs w:val="24"/>
        </w:rPr>
      </w:pPr>
    </w:p>
    <w:p w14:paraId="386D67F4" w14:textId="77777777" w:rsidR="007479DD" w:rsidRPr="00D179C5" w:rsidRDefault="007479DD" w:rsidP="007479DD">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5839DEEB" w14:textId="77777777" w:rsidR="007479DD" w:rsidRPr="00D179C5" w:rsidRDefault="007479DD" w:rsidP="007479DD">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lastRenderedPageBreak/>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F29D110" w14:textId="77777777" w:rsidR="007479DD" w:rsidRPr="00D179C5" w:rsidRDefault="007479DD" w:rsidP="007479DD">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424617AC" w14:textId="77777777" w:rsidR="007479DD" w:rsidRPr="00D179C5" w:rsidRDefault="007479DD" w:rsidP="007479DD">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1606F88E" w14:textId="77777777" w:rsidR="007479DD" w:rsidRDefault="007479DD" w:rsidP="007479DD">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247A159C" w14:textId="77777777" w:rsidR="007479DD" w:rsidRPr="00D179C5" w:rsidRDefault="007479DD" w:rsidP="007479DD">
      <w:pPr>
        <w:widowControl/>
        <w:spacing w:after="0" w:line="240" w:lineRule="auto"/>
        <w:rPr>
          <w:rFonts w:ascii="Times New Roman" w:eastAsia="Times New Roman" w:hAnsi="Times New Roman" w:cs="Times New Roman"/>
          <w:sz w:val="24"/>
          <w:szCs w:val="24"/>
        </w:rPr>
      </w:pPr>
    </w:p>
    <w:p w14:paraId="7A9BDA16" w14:textId="77777777" w:rsidR="007479DD" w:rsidRDefault="007479DD" w:rsidP="007479DD">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480A64B8" w14:textId="77777777" w:rsidR="007479DD" w:rsidRDefault="007479DD" w:rsidP="007479DD">
      <w:pPr>
        <w:widowControl/>
        <w:spacing w:after="0" w:line="240" w:lineRule="auto"/>
        <w:jc w:val="both"/>
        <w:rPr>
          <w:rFonts w:ascii="Times New Roman" w:eastAsia="Times New Roman" w:hAnsi="Times New Roman" w:cs="Times New Roman"/>
          <w:b/>
          <w:sz w:val="24"/>
          <w:szCs w:val="24"/>
        </w:rPr>
      </w:pPr>
    </w:p>
    <w:p w14:paraId="51C6C1E2" w14:textId="77777777" w:rsidR="007479DD" w:rsidRPr="00D179C5" w:rsidRDefault="007479DD" w:rsidP="007479DD">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5108C92D" w14:textId="77777777" w:rsidR="007479DD" w:rsidRPr="00D179C5" w:rsidRDefault="007479DD" w:rsidP="007479DD">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591AA787" w14:textId="77777777" w:rsidR="007479DD" w:rsidRPr="00D179C5" w:rsidRDefault="007479DD" w:rsidP="007479DD">
      <w:pPr>
        <w:widowControl/>
        <w:spacing w:after="0" w:line="240" w:lineRule="auto"/>
        <w:jc w:val="both"/>
        <w:rPr>
          <w:rFonts w:ascii="Times New Roman" w:eastAsia="Times New Roman" w:hAnsi="Times New Roman" w:cs="Times New Roman"/>
          <w:sz w:val="24"/>
          <w:szCs w:val="24"/>
        </w:rPr>
      </w:pPr>
    </w:p>
    <w:p w14:paraId="6E99BA43" w14:textId="77777777" w:rsidR="007479DD" w:rsidRPr="00D179C5" w:rsidRDefault="007479DD" w:rsidP="007479DD">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1A8B7C7A" w14:textId="77777777" w:rsidR="007479DD" w:rsidRPr="00D179C5" w:rsidRDefault="007479DD" w:rsidP="007479DD">
      <w:pPr>
        <w:widowControl/>
        <w:spacing w:after="0" w:line="240" w:lineRule="auto"/>
        <w:jc w:val="both"/>
        <w:rPr>
          <w:rFonts w:ascii="Times New Roman" w:eastAsia="Times New Roman" w:hAnsi="Times New Roman" w:cs="Times New Roman"/>
          <w:sz w:val="24"/>
          <w:szCs w:val="24"/>
        </w:rPr>
      </w:pPr>
    </w:p>
    <w:p w14:paraId="74330997" w14:textId="77777777" w:rsidR="007479DD" w:rsidRPr="00D179C5" w:rsidRDefault="007479DD" w:rsidP="007479DD">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6503EBAD" w14:textId="77777777" w:rsidR="007479DD" w:rsidRPr="00D179C5" w:rsidRDefault="007479DD" w:rsidP="007479DD">
      <w:pPr>
        <w:widowControl/>
        <w:spacing w:after="0" w:line="240" w:lineRule="auto"/>
        <w:jc w:val="both"/>
        <w:rPr>
          <w:rFonts w:ascii="Times New Roman" w:eastAsia="Times New Roman" w:hAnsi="Times New Roman" w:cs="Times New Roman"/>
          <w:sz w:val="24"/>
          <w:szCs w:val="24"/>
        </w:rPr>
      </w:pPr>
    </w:p>
    <w:p w14:paraId="62753592" w14:textId="77777777" w:rsidR="007479DD" w:rsidRDefault="007479DD" w:rsidP="007479DD">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45950731" w14:textId="77777777" w:rsidR="007479DD" w:rsidRPr="00D179C5" w:rsidRDefault="007479DD" w:rsidP="007479DD">
      <w:pPr>
        <w:widowControl/>
        <w:spacing w:after="0" w:line="240" w:lineRule="auto"/>
        <w:jc w:val="both"/>
        <w:rPr>
          <w:rFonts w:ascii="Times New Roman" w:eastAsia="Times New Roman" w:hAnsi="Times New Roman" w:cs="Times New Roman"/>
          <w:sz w:val="24"/>
          <w:szCs w:val="24"/>
        </w:rPr>
      </w:pPr>
    </w:p>
    <w:p w14:paraId="0141C4E3" w14:textId="77777777" w:rsidR="007479DD" w:rsidRPr="00D179C5" w:rsidRDefault="007479DD" w:rsidP="007479DD">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532AE306" w14:textId="77777777" w:rsidR="007479DD" w:rsidRPr="00D179C5" w:rsidRDefault="007479DD" w:rsidP="007479DD">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2F543D9D" w14:textId="77777777" w:rsidR="007479DD" w:rsidRPr="00D179C5" w:rsidRDefault="007479DD" w:rsidP="007479DD">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4DCC8C92" w14:textId="77777777" w:rsidR="007479DD" w:rsidRPr="00D179C5" w:rsidRDefault="007479DD" w:rsidP="007479DD">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3B39A364" w14:textId="77777777" w:rsidR="007479DD" w:rsidRDefault="007479DD" w:rsidP="007479DD">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2D3E11D0" w14:textId="77777777" w:rsidR="007479DD" w:rsidRDefault="007479DD" w:rsidP="007479DD">
      <w:pPr>
        <w:spacing w:after="0" w:line="240" w:lineRule="auto"/>
        <w:jc w:val="both"/>
        <w:rPr>
          <w:rFonts w:ascii="Times New Roman" w:eastAsia="Times New Roman" w:hAnsi="Times New Roman" w:cs="Times New Roman"/>
          <w:color w:val="000000"/>
          <w:sz w:val="24"/>
          <w:szCs w:val="24"/>
        </w:rPr>
      </w:pPr>
    </w:p>
    <w:p w14:paraId="413E3446" w14:textId="77777777" w:rsidR="007479DD" w:rsidRDefault="007479DD" w:rsidP="007479DD">
      <w:pPr>
        <w:widowControl/>
        <w:spacing w:after="0" w:line="240" w:lineRule="auto"/>
        <w:contextualSpacing/>
        <w:jc w:val="both"/>
        <w:rPr>
          <w:rFonts w:ascii="Times New Roman" w:hAnsi="Times New Roman" w:cs="Times New Roman"/>
          <w:b/>
          <w:sz w:val="24"/>
        </w:rPr>
      </w:pPr>
      <w:r>
        <w:rPr>
          <w:rFonts w:ascii="Times New Roman" w:hAnsi="Times New Roman" w:cs="Times New Roman"/>
          <w:b/>
          <w:sz w:val="24"/>
        </w:rPr>
        <w:t>Method of Award:</w:t>
      </w:r>
    </w:p>
    <w:p w14:paraId="0A6847DC" w14:textId="528B8D9D" w:rsidR="007479DD" w:rsidRPr="005B2C78" w:rsidRDefault="007479DD" w:rsidP="007479DD">
      <w:pPr>
        <w:widowControl/>
        <w:spacing w:after="0" w:line="240" w:lineRule="auto"/>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tate of Louisiana’s intent</w:t>
      </w:r>
      <w:r w:rsidR="0020110E">
        <w:rPr>
          <w:rFonts w:ascii="Times New Roman" w:hAnsi="Times New Roman" w:cs="Times New Roman"/>
          <w:sz w:val="24"/>
        </w:rPr>
        <w:t xml:space="preserve"> to award the</w:t>
      </w:r>
      <w:r>
        <w:rPr>
          <w:rFonts w:ascii="Times New Roman" w:hAnsi="Times New Roman" w:cs="Times New Roman"/>
          <w:sz w:val="24"/>
        </w:rPr>
        <w:t xml:space="preserve"> contract to the</w:t>
      </w:r>
      <w:r w:rsidR="0020110E">
        <w:rPr>
          <w:rFonts w:ascii="Times New Roman" w:hAnsi="Times New Roman" w:cs="Times New Roman"/>
          <w:sz w:val="24"/>
        </w:rPr>
        <w:t xml:space="preserve"> responsive, responsible</w:t>
      </w:r>
      <w:r>
        <w:rPr>
          <w:rFonts w:ascii="Times New Roman" w:hAnsi="Times New Roman" w:cs="Times New Roman"/>
          <w:sz w:val="24"/>
        </w:rPr>
        <w:t xml:space="preserve"> b</w:t>
      </w:r>
      <w:r w:rsidRPr="004A4772">
        <w:rPr>
          <w:rFonts w:ascii="Times New Roman" w:hAnsi="Times New Roman" w:cs="Times New Roman"/>
          <w:sz w:val="24"/>
        </w:rPr>
        <w:t>idder offering the overall greatest discount off the manufacturer’s current pub</w:t>
      </w:r>
      <w:r>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distributor for the brand of agricultural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006D1DC0">
        <w:rPr>
          <w:rFonts w:ascii="Times New Roman" w:hAnsi="Times New Roman" w:cs="Times New Roman"/>
          <w:sz w:val="24"/>
        </w:rPr>
        <w:t xml:space="preserve"> 0%</w:t>
      </w:r>
      <w:r w:rsidRPr="004A4772">
        <w:rPr>
          <w:rFonts w:ascii="Times New Roman" w:hAnsi="Times New Roman" w:cs="Times New Roman"/>
          <w:sz w:val="24"/>
        </w:rPr>
        <w:t xml:space="preserve"> discount.</w:t>
      </w:r>
      <w:r w:rsidRPr="00474B57">
        <w:rPr>
          <w:rFonts w:ascii="Times New Roman" w:eastAsia="Arial" w:hAnsi="Times New Roman" w:cs="Times New Roman"/>
          <w:sz w:val="24"/>
          <w:szCs w:val="24"/>
        </w:rPr>
        <w:t xml:space="preserve"> </w:t>
      </w:r>
    </w:p>
    <w:p w14:paraId="5D998203" w14:textId="77777777" w:rsidR="007479DD" w:rsidRPr="00D179C5" w:rsidRDefault="007479DD" w:rsidP="007479DD">
      <w:pPr>
        <w:spacing w:after="0" w:line="240" w:lineRule="auto"/>
        <w:jc w:val="both"/>
        <w:rPr>
          <w:rFonts w:ascii="Times New Roman" w:eastAsia="Times New Roman" w:hAnsi="Times New Roman" w:cs="Times New Roman"/>
          <w:sz w:val="24"/>
          <w:szCs w:val="24"/>
        </w:rPr>
      </w:pPr>
    </w:p>
    <w:p w14:paraId="651D84AE" w14:textId="77777777" w:rsidR="007479DD" w:rsidRPr="004F2801" w:rsidRDefault="007479DD" w:rsidP="007479DD">
      <w:pPr>
        <w:autoSpaceDE w:val="0"/>
        <w:autoSpaceDN w:val="0"/>
        <w:spacing w:after="0" w:line="240" w:lineRule="auto"/>
        <w:ind w:left="119" w:hanging="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t>Contract Utilization</w:t>
      </w:r>
      <w:r w:rsidRPr="004F2801">
        <w:rPr>
          <w:rFonts w:ascii="Times New Roman" w:eastAsia="Arial" w:hAnsi="Times New Roman" w:cs="Times New Roman"/>
          <w:bCs/>
          <w:sz w:val="24"/>
          <w:szCs w:val="24"/>
        </w:rPr>
        <w:t>:</w:t>
      </w:r>
    </w:p>
    <w:p w14:paraId="3877EE03" w14:textId="67D498C8" w:rsidR="007479DD" w:rsidRDefault="007479DD" w:rsidP="007479DD">
      <w:pPr>
        <w:widowControl/>
        <w:spacing w:after="0" w:line="240" w:lineRule="auto"/>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 xml:space="preserve">By submitting a bid, </w:t>
      </w:r>
      <w:r w:rsidR="0020110E">
        <w:rPr>
          <w:rFonts w:ascii="Times New Roman" w:eastAsia="PMingLiU" w:hAnsi="Times New Roman" w:cs="Times New Roman"/>
          <w:sz w:val="24"/>
          <w:szCs w:val="24"/>
          <w:lang w:eastAsia="zh-TW"/>
        </w:rPr>
        <w:t xml:space="preserve">the </w:t>
      </w:r>
      <w:bookmarkStart w:id="0" w:name="_GoBack"/>
      <w:bookmarkEnd w:id="0"/>
      <w:r w:rsidRPr="00D41A69">
        <w:rPr>
          <w:rFonts w:ascii="Times New Roman" w:eastAsia="PMingLiU" w:hAnsi="Times New Roman" w:cs="Times New Roman"/>
          <w:sz w:val="24"/>
          <w:szCs w:val="24"/>
          <w:lang w:eastAsia="zh-TW"/>
        </w:rPr>
        <w:t>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6BF2CB05" w14:textId="77777777" w:rsidR="007479DD" w:rsidRDefault="007479DD" w:rsidP="007479DD">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5C63682A" w14:textId="77777777" w:rsidR="007479DD" w:rsidRPr="00D41A69" w:rsidRDefault="007479DD" w:rsidP="007479DD">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w:t>
      </w:r>
      <w:r w:rsidRPr="00D41A69">
        <w:rPr>
          <w:rFonts w:ascii="Times New Roman" w:eastAsia="PMingLiU" w:hAnsi="Times New Roman" w:cs="Times New Roman"/>
          <w:sz w:val="24"/>
          <w:szCs w:val="24"/>
          <w:lang w:eastAsia="zh-TW"/>
        </w:rPr>
        <w:lastRenderedPageBreak/>
        <w:t xml:space="preserve">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6C9FFC15" w14:textId="77777777" w:rsidR="007479DD" w:rsidRPr="004F2801" w:rsidRDefault="007479DD" w:rsidP="007479DD">
      <w:pPr>
        <w:autoSpaceDE w:val="0"/>
        <w:autoSpaceDN w:val="0"/>
        <w:spacing w:before="10" w:after="0" w:line="240" w:lineRule="auto"/>
        <w:rPr>
          <w:rFonts w:ascii="Times New Roman" w:eastAsia="Arial" w:hAnsi="Times New Roman" w:cs="Times New Roman"/>
          <w:sz w:val="24"/>
          <w:szCs w:val="24"/>
        </w:rPr>
      </w:pPr>
    </w:p>
    <w:p w14:paraId="50968FE3" w14:textId="77777777" w:rsidR="007479DD" w:rsidRPr="004F2801" w:rsidRDefault="007479DD" w:rsidP="007479DD">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3B1AE4C9" w14:textId="77777777" w:rsidR="007479DD" w:rsidRPr="004F2801" w:rsidRDefault="007479DD" w:rsidP="007479DD">
      <w:pPr>
        <w:autoSpaceDE w:val="0"/>
        <w:autoSpaceDN w:val="0"/>
        <w:spacing w:after="0" w:line="240" w:lineRule="auto"/>
        <w:rPr>
          <w:rFonts w:ascii="Times New Roman" w:eastAsia="Arial" w:hAnsi="Times New Roman" w:cs="Times New Roman"/>
          <w:sz w:val="24"/>
          <w:szCs w:val="24"/>
        </w:rPr>
      </w:pPr>
    </w:p>
    <w:p w14:paraId="11C7CD63" w14:textId="77777777" w:rsidR="007479DD" w:rsidRPr="004F2801" w:rsidRDefault="007479DD" w:rsidP="007479DD">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391F04B0" w14:textId="77777777" w:rsidR="007479DD" w:rsidRPr="004F2801" w:rsidRDefault="007479DD" w:rsidP="007479DD">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7603B6D7" w14:textId="77777777" w:rsidR="007479DD" w:rsidRPr="004F2801" w:rsidRDefault="007479DD" w:rsidP="007479DD">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078A4D52" w14:textId="77777777" w:rsidR="007479DD" w:rsidRPr="004F2801" w:rsidRDefault="007479DD" w:rsidP="007479DD">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5FC4F5F7" w14:textId="77777777" w:rsidR="007479DD" w:rsidRPr="004F2801" w:rsidRDefault="007479DD" w:rsidP="007479DD">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221CE0E5" w14:textId="77777777" w:rsidR="007479DD" w:rsidRPr="004F2801" w:rsidRDefault="007479DD" w:rsidP="007479DD">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8EC74B4" w14:textId="77777777" w:rsidR="007479DD" w:rsidRPr="004F2801" w:rsidRDefault="007479DD" w:rsidP="007479DD">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3245EA1E" w14:textId="77777777" w:rsidR="007479DD" w:rsidRPr="004F2801" w:rsidRDefault="007479DD" w:rsidP="007479DD">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3F335ABD" w14:textId="77777777" w:rsidR="007479DD" w:rsidRPr="004F2801" w:rsidRDefault="007479DD" w:rsidP="007479DD">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302CD655" w14:textId="77777777" w:rsidR="007479DD" w:rsidRPr="004F2801" w:rsidRDefault="007479DD" w:rsidP="007479DD">
      <w:pPr>
        <w:autoSpaceDE w:val="0"/>
        <w:autoSpaceDN w:val="0"/>
        <w:spacing w:before="11" w:after="0" w:line="240" w:lineRule="auto"/>
        <w:rPr>
          <w:rFonts w:ascii="Times New Roman" w:eastAsia="Arial" w:hAnsi="Times New Roman" w:cs="Times New Roman"/>
          <w:sz w:val="24"/>
          <w:szCs w:val="24"/>
        </w:rPr>
      </w:pPr>
    </w:p>
    <w:p w14:paraId="43275445" w14:textId="77777777" w:rsidR="007479DD" w:rsidRPr="004F2801" w:rsidRDefault="007479DD" w:rsidP="007479DD">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56D8A94A" w14:textId="77777777" w:rsidR="007479DD" w:rsidRPr="004F2801" w:rsidRDefault="007479DD" w:rsidP="007479DD">
      <w:pPr>
        <w:autoSpaceDE w:val="0"/>
        <w:autoSpaceDN w:val="0"/>
        <w:spacing w:before="9" w:after="0" w:line="240" w:lineRule="auto"/>
        <w:rPr>
          <w:rFonts w:ascii="Times New Roman" w:eastAsia="Arial" w:hAnsi="Times New Roman" w:cs="Times New Roman"/>
          <w:sz w:val="24"/>
          <w:szCs w:val="24"/>
        </w:rPr>
      </w:pPr>
    </w:p>
    <w:p w14:paraId="50E36DFF" w14:textId="77777777" w:rsidR="007479DD" w:rsidRPr="004F2801" w:rsidRDefault="007479DD" w:rsidP="007479DD">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3FFFC1FA" w14:textId="77777777" w:rsidR="007479DD" w:rsidRPr="004F2801" w:rsidRDefault="007479DD" w:rsidP="007479DD">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51C174B4" w14:textId="77777777" w:rsidR="007479DD" w:rsidRPr="004F2801" w:rsidRDefault="007479DD" w:rsidP="007479DD">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05A6F1EA" w14:textId="77777777" w:rsidR="007479DD" w:rsidRPr="004F2801" w:rsidRDefault="007479DD" w:rsidP="007479DD">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709B4D49" w14:textId="77777777" w:rsidR="007479DD" w:rsidRPr="004F2801" w:rsidRDefault="007479DD" w:rsidP="007479DD">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10F0DAF7" w14:textId="77777777" w:rsidR="007479DD" w:rsidRPr="004F2801" w:rsidRDefault="007479DD" w:rsidP="007479DD">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030CE983" w14:textId="77777777" w:rsidR="007479DD" w:rsidRPr="004F2801" w:rsidRDefault="007479DD" w:rsidP="007479DD">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2166E769" w14:textId="77777777" w:rsidR="007479DD" w:rsidRPr="004F2801" w:rsidRDefault="007479DD" w:rsidP="007479DD">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03C8700E" w14:textId="77777777" w:rsidR="007479DD" w:rsidRPr="004F2801" w:rsidRDefault="007479DD" w:rsidP="007479DD">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3B7F8973" w14:textId="77777777" w:rsidR="007479DD" w:rsidRPr="004F2801" w:rsidRDefault="007479DD" w:rsidP="007479DD">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26C8DBBE" w14:textId="77777777" w:rsidR="007479DD" w:rsidRPr="004F2801" w:rsidRDefault="007479DD" w:rsidP="007479DD">
      <w:pPr>
        <w:autoSpaceDE w:val="0"/>
        <w:autoSpaceDN w:val="0"/>
        <w:spacing w:before="11" w:after="0" w:line="240" w:lineRule="auto"/>
        <w:rPr>
          <w:rFonts w:ascii="Times New Roman" w:eastAsia="Arial" w:hAnsi="Times New Roman" w:cs="Times New Roman"/>
          <w:sz w:val="24"/>
          <w:szCs w:val="24"/>
        </w:rPr>
      </w:pPr>
    </w:p>
    <w:p w14:paraId="02A2CF22" w14:textId="77777777" w:rsidR="007479DD" w:rsidRPr="004F2801" w:rsidRDefault="007479DD" w:rsidP="007479DD">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3AF10D4A" w14:textId="77777777" w:rsidR="007479DD" w:rsidRPr="004F2801" w:rsidRDefault="007479DD" w:rsidP="007479DD">
      <w:pPr>
        <w:autoSpaceDE w:val="0"/>
        <w:autoSpaceDN w:val="0"/>
        <w:spacing w:before="9" w:after="0" w:line="240" w:lineRule="auto"/>
        <w:rPr>
          <w:rFonts w:ascii="Times New Roman" w:eastAsia="Arial" w:hAnsi="Times New Roman" w:cs="Times New Roman"/>
          <w:sz w:val="24"/>
          <w:szCs w:val="24"/>
        </w:rPr>
      </w:pPr>
    </w:p>
    <w:p w14:paraId="4C97A3BB" w14:textId="77777777" w:rsidR="007479DD" w:rsidRPr="004F2801" w:rsidRDefault="007479DD" w:rsidP="007479DD">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7071113A" w14:textId="77777777" w:rsidR="007479DD" w:rsidRPr="004F2801" w:rsidRDefault="007479DD" w:rsidP="007479DD">
      <w:pPr>
        <w:autoSpaceDE w:val="0"/>
        <w:autoSpaceDN w:val="0"/>
        <w:spacing w:after="0" w:line="240" w:lineRule="auto"/>
        <w:rPr>
          <w:rFonts w:ascii="Times New Roman" w:eastAsia="Arial" w:hAnsi="Times New Roman" w:cs="Times New Roman"/>
          <w:sz w:val="24"/>
          <w:szCs w:val="24"/>
        </w:rPr>
      </w:pPr>
    </w:p>
    <w:p w14:paraId="3CAEC52C" w14:textId="77777777" w:rsidR="007479DD" w:rsidRPr="004F2801" w:rsidRDefault="007479DD" w:rsidP="007479DD">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17CF006E" w14:textId="77777777" w:rsidR="007479DD" w:rsidRPr="004F2801" w:rsidRDefault="007479DD" w:rsidP="007479DD">
      <w:pPr>
        <w:autoSpaceDE w:val="0"/>
        <w:autoSpaceDN w:val="0"/>
        <w:spacing w:after="0" w:line="240" w:lineRule="auto"/>
        <w:rPr>
          <w:rFonts w:ascii="Times New Roman" w:eastAsia="Arial" w:hAnsi="Times New Roman" w:cs="Times New Roman"/>
          <w:sz w:val="24"/>
          <w:szCs w:val="24"/>
        </w:rPr>
      </w:pPr>
    </w:p>
    <w:p w14:paraId="7B502E76" w14:textId="77777777" w:rsidR="007479DD" w:rsidRPr="004F2801" w:rsidRDefault="007479DD" w:rsidP="007479DD">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Pr>
          <w:rFonts w:ascii="Times New Roman" w:eastAsia="Arial" w:hAnsi="Times New Roman" w:cs="Times New Roman"/>
          <w:sz w:val="24"/>
          <w:szCs w:val="24"/>
        </w:rPr>
        <w:t xml:space="preserve"> the best value that meets the Agency's needs.  The Ordering A</w:t>
      </w:r>
      <w:r w:rsidRPr="004F2801">
        <w:rPr>
          <w:rFonts w:ascii="Times New Roman" w:eastAsia="Arial" w:hAnsi="Times New Roman" w:cs="Times New Roman"/>
          <w:sz w:val="24"/>
          <w:szCs w:val="24"/>
        </w:rPr>
        <w:t>gency should give preference to small entrepreneurships or small and emerging busine</w:t>
      </w:r>
      <w:r>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4E134F0A" w14:textId="77777777" w:rsidR="007479DD" w:rsidRPr="004F2801" w:rsidRDefault="007479DD" w:rsidP="007479DD">
      <w:pPr>
        <w:autoSpaceDE w:val="0"/>
        <w:autoSpaceDN w:val="0"/>
        <w:spacing w:after="0" w:line="240" w:lineRule="auto"/>
        <w:rPr>
          <w:rFonts w:ascii="Times New Roman" w:eastAsia="Arial" w:hAnsi="Times New Roman" w:cs="Times New Roman"/>
          <w:sz w:val="24"/>
          <w:szCs w:val="24"/>
        </w:rPr>
      </w:pPr>
    </w:p>
    <w:p w14:paraId="55CC1B4E" w14:textId="77777777" w:rsidR="007479DD" w:rsidRPr="004F2801" w:rsidRDefault="007479DD" w:rsidP="007479DD">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Pr="004F2801">
        <w:rPr>
          <w:rFonts w:ascii="Times New Roman" w:eastAsia="Arial" w:hAnsi="Times New Roman" w:cs="Times New Roman"/>
          <w:sz w:val="24"/>
          <w:szCs w:val="24"/>
        </w:rPr>
        <w:t>gency shall document in the procurem</w:t>
      </w:r>
      <w:r>
        <w:rPr>
          <w:rFonts w:ascii="Times New Roman" w:eastAsia="Arial" w:hAnsi="Times New Roman" w:cs="Times New Roman"/>
          <w:sz w:val="24"/>
          <w:szCs w:val="24"/>
        </w:rPr>
        <w:t>ent file the evaluation of the C</w:t>
      </w:r>
      <w:r w:rsidRPr="004F2801">
        <w:rPr>
          <w:rFonts w:ascii="Times New Roman" w:eastAsia="Arial" w:hAnsi="Times New Roman" w:cs="Times New Roman"/>
          <w:sz w:val="24"/>
          <w:szCs w:val="24"/>
        </w:rPr>
        <w:t>ontractors' responses that formed the basis for selection. The do</w:t>
      </w:r>
      <w:r>
        <w:rPr>
          <w:rFonts w:ascii="Times New Roman" w:eastAsia="Arial" w:hAnsi="Times New Roman" w:cs="Times New Roman"/>
          <w:sz w:val="24"/>
          <w:szCs w:val="24"/>
        </w:rPr>
        <w:t>cumentation shall identify the C</w:t>
      </w:r>
      <w:r w:rsidRPr="004F2801">
        <w:rPr>
          <w:rFonts w:ascii="Times New Roman" w:eastAsia="Arial" w:hAnsi="Times New Roman" w:cs="Times New Roman"/>
          <w:sz w:val="24"/>
          <w:szCs w:val="24"/>
        </w:rPr>
        <w:t>ontractor from which the services and/or products were pu</w:t>
      </w:r>
      <w:r>
        <w:rPr>
          <w:rFonts w:ascii="Times New Roman" w:eastAsia="Arial" w:hAnsi="Times New Roman" w:cs="Times New Roman"/>
          <w:sz w:val="24"/>
          <w:szCs w:val="24"/>
        </w:rPr>
        <w:t>rchased, the services and/or pro</w:t>
      </w:r>
      <w:r w:rsidRPr="004F2801">
        <w:rPr>
          <w:rFonts w:ascii="Times New Roman" w:eastAsia="Arial" w:hAnsi="Times New Roman" w:cs="Times New Roman"/>
          <w:sz w:val="24"/>
          <w:szCs w:val="24"/>
        </w:rPr>
        <w:t>ducts purchased, and the cost of the resulting purchase order.</w:t>
      </w:r>
    </w:p>
    <w:p w14:paraId="12407607" w14:textId="77777777" w:rsidR="007479DD" w:rsidRPr="004F2801" w:rsidRDefault="007479DD" w:rsidP="007479DD">
      <w:pPr>
        <w:autoSpaceDE w:val="0"/>
        <w:autoSpaceDN w:val="0"/>
        <w:spacing w:after="0" w:line="240" w:lineRule="auto"/>
        <w:rPr>
          <w:rFonts w:ascii="Times New Roman" w:eastAsia="Arial" w:hAnsi="Times New Roman" w:cs="Times New Roman"/>
          <w:sz w:val="24"/>
          <w:szCs w:val="24"/>
        </w:rPr>
      </w:pPr>
    </w:p>
    <w:p w14:paraId="4DFC933A" w14:textId="77777777" w:rsidR="007479DD" w:rsidRPr="004F2801" w:rsidRDefault="007479DD" w:rsidP="007479DD">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DA90A1C" w14:textId="77777777" w:rsidR="007479DD" w:rsidRDefault="007479DD" w:rsidP="007479DD">
      <w:pPr>
        <w:autoSpaceDE w:val="0"/>
        <w:autoSpaceDN w:val="0"/>
        <w:spacing w:after="0" w:line="240" w:lineRule="auto"/>
        <w:ind w:left="119"/>
        <w:outlineLvl w:val="0"/>
        <w:rPr>
          <w:rFonts w:ascii="Times New Roman" w:eastAsia="Arial" w:hAnsi="Times New Roman" w:cs="Times New Roman"/>
          <w:b/>
          <w:bCs/>
          <w:sz w:val="24"/>
          <w:szCs w:val="24"/>
        </w:rPr>
      </w:pPr>
    </w:p>
    <w:p w14:paraId="6DD88729"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6C6278F"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1AE84F93" w14:textId="21A46B93" w:rsidR="00B102FF" w:rsidRPr="00093CED"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sidR="00F74A14">
        <w:rPr>
          <w:rFonts w:ascii="Times New Roman" w:eastAsia="Arial" w:hAnsi="Times New Roman" w:cs="Times New Roman"/>
          <w:bCs/>
          <w:sz w:val="24"/>
          <w:szCs w:val="24"/>
        </w:rPr>
        <w:t>Industrial</w:t>
      </w:r>
      <w:r>
        <w:rPr>
          <w:rFonts w:ascii="Times New Roman" w:eastAsia="Arial" w:hAnsi="Times New Roman" w:cs="Times New Roman"/>
          <w:bCs/>
          <w:sz w:val="24"/>
          <w:szCs w:val="24"/>
        </w:rPr>
        <w:t xml:space="preserve"> </w:t>
      </w:r>
      <w:r w:rsidRPr="00093CED">
        <w:rPr>
          <w:rFonts w:ascii="Times New Roman" w:eastAsia="Arial" w:hAnsi="Times New Roman" w:cs="Times New Roman"/>
          <w:bCs/>
          <w:sz w:val="24"/>
          <w:szCs w:val="24"/>
        </w:rPr>
        <w:t xml:space="preserve">Equipment are expected to have </w:t>
      </w:r>
      <w:r w:rsidRPr="000805F2">
        <w:rPr>
          <w:rFonts w:ascii="Times New Roman" w:eastAsia="Arial" w:hAnsi="Times New Roman" w:cs="Times New Roman"/>
          <w:b/>
          <w:bCs/>
          <w:sz w:val="24"/>
          <w:szCs w:val="24"/>
        </w:rPr>
        <w:t>$</w:t>
      </w:r>
      <w:r w:rsidR="00F74A14" w:rsidRPr="000805F2">
        <w:rPr>
          <w:rFonts w:ascii="Times New Roman" w:eastAsia="Arial" w:hAnsi="Times New Roman" w:cs="Times New Roman"/>
          <w:b/>
          <w:bCs/>
          <w:sz w:val="24"/>
          <w:szCs w:val="24"/>
        </w:rPr>
        <w:t>40</w:t>
      </w:r>
      <w:r w:rsidRPr="000805F2">
        <w:rPr>
          <w:rFonts w:ascii="Times New Roman" w:eastAsia="Arial" w:hAnsi="Times New Roman" w:cs="Times New Roman"/>
          <w:b/>
          <w:bCs/>
          <w:sz w:val="24"/>
          <w:szCs w:val="24"/>
        </w:rPr>
        <w:t>0,000</w:t>
      </w:r>
      <w:r>
        <w:rPr>
          <w:rFonts w:ascii="Times New Roman" w:eastAsia="Arial" w:hAnsi="Times New Roman" w:cs="Times New Roman"/>
          <w:bCs/>
          <w:sz w:val="24"/>
          <w:szCs w:val="24"/>
        </w:rPr>
        <w:t xml:space="preserve">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w:t>
      </w:r>
      <w:r w:rsidR="000805F2">
        <w:rPr>
          <w:rFonts w:ascii="Times New Roman" w:eastAsia="Arial" w:hAnsi="Times New Roman" w:cs="Times New Roman"/>
          <w:bCs/>
          <w:sz w:val="24"/>
          <w:szCs w:val="24"/>
        </w:rPr>
        <w:t>contract for a period of 2</w:t>
      </w:r>
      <w:r>
        <w:rPr>
          <w:rFonts w:ascii="Times New Roman" w:eastAsia="Arial" w:hAnsi="Times New Roman" w:cs="Times New Roman"/>
          <w:bCs/>
          <w:sz w:val="24"/>
          <w:szCs w:val="24"/>
        </w:rPr>
        <w:t xml:space="preserve"> years.</w:t>
      </w:r>
    </w:p>
    <w:p w14:paraId="4B303DEC" w14:textId="47DBD59E" w:rsidR="00292033" w:rsidRDefault="00292033" w:rsidP="00F82900">
      <w:pPr>
        <w:autoSpaceDE w:val="0"/>
        <w:autoSpaceDN w:val="0"/>
        <w:spacing w:after="0" w:line="240" w:lineRule="auto"/>
        <w:jc w:val="both"/>
        <w:outlineLvl w:val="0"/>
        <w:rPr>
          <w:rFonts w:ascii="Times New Roman" w:eastAsia="Arial" w:hAnsi="Times New Roman" w:cs="Times New Roman"/>
          <w:b/>
          <w:bCs/>
          <w:sz w:val="24"/>
          <w:szCs w:val="24"/>
        </w:rPr>
      </w:pPr>
    </w:p>
    <w:p w14:paraId="348566DD" w14:textId="1B8151EA" w:rsidR="00B102FF" w:rsidRDefault="00B102FF" w:rsidP="00B102FF">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7CC80A3E"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13DE430"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p>
    <w:p w14:paraId="5E67BC0F" w14:textId="43CFAF4A" w:rsidR="00B102FF" w:rsidRPr="00811896"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sidR="00935B52">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CA6753F" w14:textId="77777777" w:rsidR="00B102FF" w:rsidRDefault="00B102FF" w:rsidP="00B102FF">
      <w:pPr>
        <w:autoSpaceDE w:val="0"/>
        <w:autoSpaceDN w:val="0"/>
        <w:spacing w:after="0" w:line="240" w:lineRule="auto"/>
        <w:ind w:left="-90"/>
        <w:outlineLvl w:val="0"/>
        <w:rPr>
          <w:rFonts w:ascii="Times New Roman" w:eastAsia="Arial" w:hAnsi="Times New Roman" w:cs="Times New Roman"/>
          <w:sz w:val="24"/>
          <w:szCs w:val="24"/>
        </w:rPr>
      </w:pPr>
    </w:p>
    <w:sectPr w:rsidR="00B102FF"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930181"/>
      <w:docPartObj>
        <w:docPartGallery w:val="Page Numbers (Bottom of Page)"/>
        <w:docPartUnique/>
      </w:docPartObj>
    </w:sdtPr>
    <w:sdtContent>
      <w:sdt>
        <w:sdtPr>
          <w:id w:val="1728636285"/>
          <w:docPartObj>
            <w:docPartGallery w:val="Page Numbers (Top of Page)"/>
            <w:docPartUnique/>
          </w:docPartObj>
        </w:sdtPr>
        <w:sdtContent>
          <w:p w14:paraId="47E73916" w14:textId="29856039" w:rsidR="0020110E" w:rsidRDefault="002011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14:paraId="513408EC" w14:textId="22C703BD"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05F2"/>
    <w:rsid w:val="0008674F"/>
    <w:rsid w:val="000A5589"/>
    <w:rsid w:val="000A6942"/>
    <w:rsid w:val="000B4D03"/>
    <w:rsid w:val="000C206D"/>
    <w:rsid w:val="000F60A6"/>
    <w:rsid w:val="000F61F3"/>
    <w:rsid w:val="001148BE"/>
    <w:rsid w:val="00124090"/>
    <w:rsid w:val="001345C1"/>
    <w:rsid w:val="001419B8"/>
    <w:rsid w:val="00142502"/>
    <w:rsid w:val="00147AAB"/>
    <w:rsid w:val="00154B96"/>
    <w:rsid w:val="0016404A"/>
    <w:rsid w:val="001817F2"/>
    <w:rsid w:val="001858C6"/>
    <w:rsid w:val="00186594"/>
    <w:rsid w:val="001A47DF"/>
    <w:rsid w:val="001B25E4"/>
    <w:rsid w:val="001B2AA3"/>
    <w:rsid w:val="001B5FA5"/>
    <w:rsid w:val="001C33EF"/>
    <w:rsid w:val="001E0177"/>
    <w:rsid w:val="001E517E"/>
    <w:rsid w:val="001E7977"/>
    <w:rsid w:val="001F2213"/>
    <w:rsid w:val="0020110E"/>
    <w:rsid w:val="00211EBD"/>
    <w:rsid w:val="00213448"/>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05026"/>
    <w:rsid w:val="00325E89"/>
    <w:rsid w:val="00332CF3"/>
    <w:rsid w:val="0033559B"/>
    <w:rsid w:val="003622C5"/>
    <w:rsid w:val="00363AB4"/>
    <w:rsid w:val="00382509"/>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28"/>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5147"/>
    <w:rsid w:val="00526DAB"/>
    <w:rsid w:val="0053232F"/>
    <w:rsid w:val="005357C8"/>
    <w:rsid w:val="00540D29"/>
    <w:rsid w:val="00543253"/>
    <w:rsid w:val="00554517"/>
    <w:rsid w:val="00564849"/>
    <w:rsid w:val="005818FF"/>
    <w:rsid w:val="00585BBF"/>
    <w:rsid w:val="00592B0F"/>
    <w:rsid w:val="005957CE"/>
    <w:rsid w:val="00596A2A"/>
    <w:rsid w:val="005C64DD"/>
    <w:rsid w:val="005E78FC"/>
    <w:rsid w:val="005F0F0A"/>
    <w:rsid w:val="005F5F42"/>
    <w:rsid w:val="00600C8C"/>
    <w:rsid w:val="00604C63"/>
    <w:rsid w:val="00620014"/>
    <w:rsid w:val="00626CFB"/>
    <w:rsid w:val="006468DB"/>
    <w:rsid w:val="00664665"/>
    <w:rsid w:val="0067115B"/>
    <w:rsid w:val="00676159"/>
    <w:rsid w:val="006842BC"/>
    <w:rsid w:val="006916EA"/>
    <w:rsid w:val="00692190"/>
    <w:rsid w:val="006B5CE1"/>
    <w:rsid w:val="006C5C68"/>
    <w:rsid w:val="006D1DC0"/>
    <w:rsid w:val="006D41D2"/>
    <w:rsid w:val="006E09BB"/>
    <w:rsid w:val="007005F8"/>
    <w:rsid w:val="0072093B"/>
    <w:rsid w:val="00720E5A"/>
    <w:rsid w:val="00731A28"/>
    <w:rsid w:val="0073309B"/>
    <w:rsid w:val="00733D81"/>
    <w:rsid w:val="00744179"/>
    <w:rsid w:val="007479DD"/>
    <w:rsid w:val="00781D34"/>
    <w:rsid w:val="00785B27"/>
    <w:rsid w:val="007943D3"/>
    <w:rsid w:val="007C4260"/>
    <w:rsid w:val="007C4572"/>
    <w:rsid w:val="007E6875"/>
    <w:rsid w:val="00800655"/>
    <w:rsid w:val="008028C9"/>
    <w:rsid w:val="00817492"/>
    <w:rsid w:val="00833FDE"/>
    <w:rsid w:val="00854CC5"/>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5682C"/>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32C6"/>
    <w:rsid w:val="009E6D6D"/>
    <w:rsid w:val="00A049B2"/>
    <w:rsid w:val="00A07ED9"/>
    <w:rsid w:val="00A173B6"/>
    <w:rsid w:val="00A33764"/>
    <w:rsid w:val="00A47BF5"/>
    <w:rsid w:val="00A55AEC"/>
    <w:rsid w:val="00A607F1"/>
    <w:rsid w:val="00A80A17"/>
    <w:rsid w:val="00A92C21"/>
    <w:rsid w:val="00AB1292"/>
    <w:rsid w:val="00AB1330"/>
    <w:rsid w:val="00AC013D"/>
    <w:rsid w:val="00AE3925"/>
    <w:rsid w:val="00B01752"/>
    <w:rsid w:val="00B04DBB"/>
    <w:rsid w:val="00B102FF"/>
    <w:rsid w:val="00B359A2"/>
    <w:rsid w:val="00B44F9B"/>
    <w:rsid w:val="00B47D46"/>
    <w:rsid w:val="00B5452C"/>
    <w:rsid w:val="00B75C7D"/>
    <w:rsid w:val="00B760A8"/>
    <w:rsid w:val="00B855F0"/>
    <w:rsid w:val="00B950DC"/>
    <w:rsid w:val="00BA11F1"/>
    <w:rsid w:val="00BC1303"/>
    <w:rsid w:val="00BD087B"/>
    <w:rsid w:val="00BD606A"/>
    <w:rsid w:val="00BE0171"/>
    <w:rsid w:val="00BE2818"/>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917BF"/>
    <w:rsid w:val="00C9736A"/>
    <w:rsid w:val="00CB16E8"/>
    <w:rsid w:val="00CB2D01"/>
    <w:rsid w:val="00CC7990"/>
    <w:rsid w:val="00CE01CD"/>
    <w:rsid w:val="00CE1FC8"/>
    <w:rsid w:val="00CE3E93"/>
    <w:rsid w:val="00CE4096"/>
    <w:rsid w:val="00CF406C"/>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C69EA"/>
    <w:rsid w:val="00EC70EE"/>
    <w:rsid w:val="00EE16E9"/>
    <w:rsid w:val="00EF28EE"/>
    <w:rsid w:val="00EF4857"/>
    <w:rsid w:val="00F020E5"/>
    <w:rsid w:val="00F03F5E"/>
    <w:rsid w:val="00F22692"/>
    <w:rsid w:val="00F22D82"/>
    <w:rsid w:val="00F320DF"/>
    <w:rsid w:val="00F327D0"/>
    <w:rsid w:val="00F662A7"/>
    <w:rsid w:val="00F716AC"/>
    <w:rsid w:val="00F74A14"/>
    <w:rsid w:val="00F82900"/>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5E17-B766-404D-9829-C0D62E16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13</Pages>
  <Words>5021</Words>
  <Characters>28760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61</cp:revision>
  <cp:lastPrinted>2024-08-08T20:38:00Z</cp:lastPrinted>
  <dcterms:created xsi:type="dcterms:W3CDTF">2021-09-20T19:25:00Z</dcterms:created>
  <dcterms:modified xsi:type="dcterms:W3CDTF">2025-08-12T14:20:00Z</dcterms:modified>
</cp:coreProperties>
</file>