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5117F7" w:rsidRDefault="00305D3E" w:rsidP="005117F7">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8C0115" w:rsidRPr="0029441D" w:rsidRDefault="00305D3E" w:rsidP="008C0115">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hAnsi="Times New Roman" w:cs="Times New Roman"/>
          <w:b/>
          <w:sz w:val="24"/>
          <w:szCs w:val="24"/>
        </w:rPr>
        <w:tab/>
      </w:r>
      <w:r w:rsidR="008C0115" w:rsidRPr="0029441D">
        <w:rPr>
          <w:rFonts w:ascii="Times New Roman" w:eastAsia="PMingLiU" w:hAnsi="Times New Roman" w:cs="Times New Roman"/>
          <w:b/>
          <w:sz w:val="24"/>
          <w:szCs w:val="24"/>
          <w:lang w:eastAsia="zh-TW"/>
        </w:rPr>
        <w:t>Substitutes:</w:t>
      </w:r>
      <w:r w:rsidR="008C0115" w:rsidRPr="0029441D">
        <w:rPr>
          <w:rFonts w:ascii="Times New Roman" w:eastAsia="PMingLiU" w:hAnsi="Times New Roman" w:cs="Times New Roman"/>
          <w:sz w:val="24"/>
          <w:szCs w:val="24"/>
          <w:lang w:eastAsia="zh-TW"/>
        </w:rPr>
        <w:t xml:space="preserve">  </w:t>
      </w:r>
    </w:p>
    <w:p w:rsidR="008C0115" w:rsidRDefault="008C0115" w:rsidP="008C0115">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8C0115" w:rsidRPr="0029441D" w:rsidRDefault="008C0115" w:rsidP="008C0115">
      <w:pPr>
        <w:pStyle w:val="ListParagraph"/>
        <w:widowControl/>
        <w:spacing w:after="0" w:line="240" w:lineRule="auto"/>
        <w:ind w:left="540"/>
        <w:rPr>
          <w:rFonts w:ascii="Times New Roman" w:eastAsia="PMingLiU" w:hAnsi="Times New Roman" w:cs="Times New Roman"/>
          <w:b/>
          <w:sz w:val="24"/>
          <w:szCs w:val="24"/>
          <w:lang w:eastAsia="zh-TW"/>
        </w:rPr>
      </w:pPr>
    </w:p>
    <w:p w:rsidR="00305D3E" w:rsidRPr="0029441D" w:rsidRDefault="008C0115" w:rsidP="008C0115">
      <w:pPr>
        <w:pStyle w:val="ListParagraph"/>
        <w:numPr>
          <w:ilvl w:val="0"/>
          <w:numId w:val="26"/>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05D3E" w:rsidRPr="0029441D">
        <w:rPr>
          <w:rFonts w:ascii="Times New Roman" w:hAnsi="Times New Roman" w:cs="Times New Roman"/>
          <w:b/>
          <w:sz w:val="24"/>
          <w:szCs w:val="24"/>
        </w:rPr>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lastRenderedPageBreak/>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8C0115" w:rsidRDefault="001C494C" w:rsidP="008C0115">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lastRenderedPageBreak/>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F125B6" w:rsidRDefault="00305D3E" w:rsidP="00F125B6">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(Note:  if more space is required, include on separate sheet.)</w:t>
      </w:r>
    </w:p>
    <w:p w:rsidR="0028602B" w:rsidRPr="00F125B6" w:rsidRDefault="00305D3E" w:rsidP="00F125B6">
      <w:pPr>
        <w:pStyle w:val="ListParagraph"/>
        <w:spacing w:line="240" w:lineRule="auto"/>
        <w:ind w:left="540"/>
        <w:rPr>
          <w:rFonts w:ascii="Times New Roman" w:hAnsi="Times New Roman" w:cs="Times New Roman"/>
          <w:b/>
          <w:sz w:val="24"/>
          <w:szCs w:val="24"/>
        </w:rPr>
      </w:pPr>
      <w:r w:rsidRPr="0028602B">
        <w:rPr>
          <w:rFonts w:ascii="Times New Roman" w:eastAsia="PMingLiU" w:hAnsi="Times New Roman" w:cs="Times New Roman"/>
          <w:b/>
          <w:sz w:val="24"/>
          <w:szCs w:val="24"/>
          <w:lang w:eastAsia="zh-TW"/>
        </w:rPr>
        <w:tab/>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Literature:</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29441D">
        <w:rPr>
          <w:rFonts w:ascii="Times New Roman" w:eastAsia="PMingLiU" w:hAnsi="Times New Roman" w:cs="Times New Roman"/>
          <w:sz w:val="24"/>
          <w:szCs w:val="24"/>
          <w:lang w:eastAsia="zh-TW"/>
        </w:rPr>
        <w:tab/>
        <w:t>specifications must be submitted within 5 business days of written request.</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29441D">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5117F7" w:rsidRDefault="008C0115" w:rsidP="005117F7">
      <w:pPr>
        <w:spacing w:after="0" w:line="240" w:lineRule="auto"/>
        <w:rPr>
          <w:rFonts w:ascii="Times New Roman" w:hAnsi="Times New Roman" w:cs="Times New Roman"/>
          <w:sz w:val="24"/>
          <w:szCs w:val="24"/>
        </w:rPr>
      </w:pPr>
      <w:r>
        <w:rPr>
          <w:rFonts w:ascii="Times New Roman" w:hAnsi="Times New Roman" w:cs="Times New Roman"/>
          <w:b/>
          <w:sz w:val="24"/>
          <w:szCs w:val="24"/>
        </w:rPr>
        <w:t>14</w:t>
      </w:r>
      <w:r w:rsidR="005117F7" w:rsidRPr="005117F7">
        <w:rPr>
          <w:rFonts w:ascii="Times New Roman" w:hAnsi="Times New Roman" w:cs="Times New Roman"/>
          <w:b/>
          <w:sz w:val="24"/>
          <w:szCs w:val="24"/>
        </w:rPr>
        <w:t xml:space="preserve">. </w:t>
      </w:r>
      <w:r w:rsidR="005117F7">
        <w:rPr>
          <w:rFonts w:ascii="Times New Roman" w:hAnsi="Times New Roman" w:cs="Times New Roman"/>
          <w:b/>
          <w:sz w:val="24"/>
          <w:szCs w:val="24"/>
        </w:rPr>
        <w:tab/>
      </w:r>
      <w:r w:rsidR="00305D3E" w:rsidRPr="005117F7">
        <w:rPr>
          <w:rFonts w:ascii="Times New Roman" w:hAnsi="Times New Roman" w:cs="Times New Roman"/>
          <w:b/>
          <w:sz w:val="24"/>
          <w:szCs w:val="24"/>
        </w:rPr>
        <w:t>Right to Inspect:</w:t>
      </w:r>
      <w:r w:rsidR="00305D3E" w:rsidRPr="005117F7">
        <w:rPr>
          <w:rFonts w:ascii="Times New Roman" w:hAnsi="Times New Roman" w:cs="Times New Roman"/>
          <w:sz w:val="24"/>
          <w:szCs w:val="24"/>
        </w:rPr>
        <w:t xml:space="preserve"> </w:t>
      </w:r>
    </w:p>
    <w:p w:rsidR="00305D3E"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90312" w:rsidRDefault="00390312" w:rsidP="001A670E">
      <w:pPr>
        <w:spacing w:after="0" w:line="240" w:lineRule="auto"/>
        <w:jc w:val="both"/>
        <w:rPr>
          <w:rFonts w:ascii="Times New Roman" w:eastAsia="Times New Roman" w:hAnsi="Times New Roman" w:cs="Times New Roman"/>
          <w:sz w:val="24"/>
          <w:szCs w:val="24"/>
        </w:rPr>
      </w:pPr>
    </w:p>
    <w:p w:rsidR="005117F7" w:rsidRPr="005117F7" w:rsidRDefault="00F125B6" w:rsidP="005117F7">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15</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5117F7" w:rsidRPr="005117F7">
        <w:rPr>
          <w:rFonts w:ascii="Times New Roman" w:hAnsi="Times New Roman" w:cs="Times New Roman"/>
          <w:b/>
          <w:sz w:val="24"/>
          <w:szCs w:val="24"/>
        </w:rPr>
        <w:t>Method of Award:</w:t>
      </w:r>
    </w:p>
    <w:p w:rsidR="00450069" w:rsidRDefault="005117F7" w:rsidP="005117F7">
      <w:pPr>
        <w:ind w:left="720"/>
        <w:contextualSpacing/>
        <w:rPr>
          <w:rFonts w:ascii="Times New Roman" w:hAnsi="Times New Roman" w:cs="Times New Roman"/>
          <w:sz w:val="24"/>
          <w:szCs w:val="24"/>
        </w:rPr>
      </w:pPr>
      <w:r w:rsidRPr="005117F7">
        <w:rPr>
          <w:rFonts w:ascii="Times New Roman" w:hAnsi="Times New Roman" w:cs="Times New Roman"/>
          <w:sz w:val="24"/>
          <w:szCs w:val="24"/>
        </w:rPr>
        <w:t xml:space="preserve">It is the intent of the State to award this contract on an </w:t>
      </w:r>
      <w:r w:rsidR="00C37D7B">
        <w:rPr>
          <w:rFonts w:ascii="Times New Roman" w:hAnsi="Times New Roman" w:cs="Times New Roman"/>
          <w:sz w:val="24"/>
          <w:szCs w:val="24"/>
        </w:rPr>
        <w:t>individual</w:t>
      </w:r>
      <w:r w:rsidRPr="005117F7">
        <w:rPr>
          <w:rFonts w:ascii="Times New Roman" w:hAnsi="Times New Roman" w:cs="Times New Roman"/>
          <w:sz w:val="24"/>
          <w:szCs w:val="24"/>
        </w:rPr>
        <w:t xml:space="preserve"> basis to the lowest responsive, responsible bidder meeting the specifications.  The State further reserves the right to reject individual line items from the award.</w:t>
      </w:r>
    </w:p>
    <w:p w:rsidR="0009367F" w:rsidRDefault="0009367F" w:rsidP="005117F7">
      <w:pPr>
        <w:ind w:left="720"/>
        <w:contextualSpacing/>
        <w:rPr>
          <w:rFonts w:ascii="Times New Roman" w:hAnsi="Times New Roman" w:cs="Times New Roman"/>
          <w:sz w:val="24"/>
          <w:szCs w:val="24"/>
        </w:rPr>
      </w:pPr>
    </w:p>
    <w:p w:rsidR="0009367F" w:rsidRPr="00215529" w:rsidRDefault="0009367F" w:rsidP="0009367F">
      <w:pPr>
        <w:contextualSpacing/>
        <w:rPr>
          <w:rFonts w:ascii="Times New Roman" w:hAnsi="Times New Roman"/>
          <w:b/>
          <w:sz w:val="24"/>
          <w:szCs w:val="24"/>
        </w:rPr>
      </w:pPr>
      <w:r w:rsidRPr="00215529">
        <w:rPr>
          <w:rFonts w:ascii="Times New Roman" w:hAnsi="Times New Roman"/>
          <w:b/>
          <w:bCs/>
          <w:sz w:val="24"/>
          <w:szCs w:val="24"/>
        </w:rPr>
        <w:t>1</w:t>
      </w:r>
      <w:r>
        <w:rPr>
          <w:rFonts w:ascii="Times New Roman" w:hAnsi="Times New Roman"/>
          <w:b/>
          <w:bCs/>
          <w:sz w:val="24"/>
          <w:szCs w:val="24"/>
        </w:rPr>
        <w:t>6</w:t>
      </w:r>
      <w:r w:rsidRPr="00215529">
        <w:rPr>
          <w:rFonts w:ascii="Times New Roman" w:hAnsi="Times New Roman"/>
          <w:b/>
          <w:bCs/>
          <w:sz w:val="24"/>
          <w:szCs w:val="24"/>
        </w:rPr>
        <w:t>.</w:t>
      </w:r>
      <w:r w:rsidRPr="00215529">
        <w:rPr>
          <w:rFonts w:ascii="Times New Roman" w:hAnsi="Times New Roman"/>
          <w:b/>
          <w:bCs/>
          <w:sz w:val="24"/>
          <w:szCs w:val="24"/>
        </w:rPr>
        <w:tab/>
      </w:r>
      <w:r w:rsidRPr="00215529">
        <w:rPr>
          <w:rFonts w:ascii="Times New Roman" w:hAnsi="Times New Roman"/>
          <w:b/>
          <w:sz w:val="24"/>
          <w:szCs w:val="24"/>
        </w:rPr>
        <w:t>Scope of Work:</w:t>
      </w:r>
    </w:p>
    <w:p w:rsidR="0009367F" w:rsidRDefault="0009367F" w:rsidP="0009367F">
      <w:pPr>
        <w:ind w:left="720"/>
        <w:contextualSpacing/>
        <w:rPr>
          <w:rFonts w:ascii="Times New Roman" w:hAnsi="Times New Roman"/>
          <w:sz w:val="24"/>
          <w:szCs w:val="24"/>
        </w:rPr>
      </w:pPr>
      <w:r w:rsidRPr="00215529">
        <w:rPr>
          <w:rFonts w:ascii="Times New Roman" w:hAnsi="Times New Roman"/>
          <w:sz w:val="24"/>
          <w:szCs w:val="24"/>
        </w:rPr>
        <w:t>Scope of work includes labor, materials, and services required to produce a completed installation which is acceptable to the Agency.</w:t>
      </w:r>
    </w:p>
    <w:p w:rsidR="0027519B" w:rsidRDefault="0027519B" w:rsidP="0009367F">
      <w:pPr>
        <w:ind w:left="720"/>
        <w:contextualSpacing/>
        <w:rPr>
          <w:rFonts w:ascii="Times New Roman" w:hAnsi="Times New Roman"/>
          <w:sz w:val="24"/>
          <w:szCs w:val="24"/>
        </w:rPr>
      </w:pPr>
    </w:p>
    <w:p w:rsidR="0027519B" w:rsidRPr="0027519B" w:rsidRDefault="0027519B" w:rsidP="0027519B">
      <w:pPr>
        <w:ind w:left="720"/>
        <w:contextualSpacing/>
        <w:rPr>
          <w:rFonts w:ascii="Times New Roman" w:hAnsi="Times New Roman"/>
          <w:sz w:val="24"/>
          <w:szCs w:val="24"/>
        </w:rPr>
      </w:pPr>
      <w:r w:rsidRPr="0027519B">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8C0115" w:rsidRDefault="008C0115" w:rsidP="0027519B">
      <w:pPr>
        <w:contextualSpacing/>
        <w:rPr>
          <w:rFonts w:ascii="Times New Roman" w:hAnsi="Times New Roman"/>
          <w:sz w:val="24"/>
          <w:szCs w:val="24"/>
        </w:rPr>
      </w:pPr>
    </w:p>
    <w:p w:rsidR="008C0115" w:rsidRPr="001D7342" w:rsidRDefault="008C0115" w:rsidP="008C0115">
      <w:pPr>
        <w:spacing w:after="0"/>
        <w:rPr>
          <w:rFonts w:ascii="Times New Roman" w:eastAsia="PMingLiU" w:hAnsi="Times New Roman" w:cs="Times New Roman"/>
          <w:sz w:val="24"/>
          <w:szCs w:val="24"/>
          <w:lang w:eastAsia="zh-TW"/>
        </w:rPr>
      </w:pPr>
      <w:r>
        <w:rPr>
          <w:rFonts w:ascii="Times New Roman" w:hAnsi="Times New Roman" w:cs="Times New Roman"/>
          <w:b/>
          <w:bCs/>
          <w:sz w:val="24"/>
          <w:szCs w:val="24"/>
        </w:rPr>
        <w:t>17</w:t>
      </w:r>
      <w:r w:rsidRPr="001D7342">
        <w:rPr>
          <w:rFonts w:ascii="Times New Roman" w:hAnsi="Times New Roman" w:cs="Times New Roman"/>
          <w:b/>
          <w:bCs/>
          <w:sz w:val="24"/>
          <w:szCs w:val="24"/>
        </w:rPr>
        <w:t>.</w:t>
      </w:r>
      <w:r w:rsidRPr="001D7342">
        <w:rPr>
          <w:rFonts w:ascii="Times New Roman" w:hAnsi="Times New Roman" w:cs="Times New Roman"/>
          <w:b/>
          <w:bCs/>
          <w:sz w:val="24"/>
          <w:szCs w:val="24"/>
        </w:rPr>
        <w:tab/>
      </w:r>
      <w:r w:rsidRPr="001D7342">
        <w:rPr>
          <w:rFonts w:ascii="Times New Roman" w:hAnsi="Times New Roman" w:cs="Times New Roman"/>
          <w:b/>
          <w:sz w:val="24"/>
          <w:szCs w:val="24"/>
        </w:rPr>
        <w:t xml:space="preserve">Insurance Requirements for Contractors:  </w:t>
      </w:r>
    </w:p>
    <w:p w:rsidR="008C0115" w:rsidRPr="001D7342" w:rsidRDefault="008C0115" w:rsidP="008C0115">
      <w:pPr>
        <w:spacing w:after="0"/>
        <w:ind w:left="72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8C0115" w:rsidRDefault="008C0115" w:rsidP="008C0115">
      <w:pPr>
        <w:spacing w:after="0"/>
        <w:rPr>
          <w:rFonts w:ascii="Times New Roman" w:eastAsia="PMingLiU" w:hAnsi="Times New Roman" w:cs="Times New Roman"/>
          <w:sz w:val="24"/>
          <w:szCs w:val="24"/>
          <w:lang w:eastAsia="zh-TW"/>
        </w:rPr>
      </w:pPr>
    </w:p>
    <w:p w:rsidR="0027519B" w:rsidRPr="001D7342" w:rsidRDefault="0027519B" w:rsidP="008C0115">
      <w:pPr>
        <w:spacing w:after="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lastRenderedPageBreak/>
        <w:tab/>
      </w:r>
      <w:r w:rsidRPr="001D7342">
        <w:rPr>
          <w:rFonts w:ascii="Times New Roman" w:eastAsia="PMingLiU" w:hAnsi="Times New Roman" w:cs="Times New Roman"/>
          <w:sz w:val="24"/>
          <w:szCs w:val="24"/>
          <w:lang w:eastAsia="zh-TW"/>
        </w:rPr>
        <w:tab/>
        <w:t>A.</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Minimum Scope and Limits of Insurance</w:t>
      </w: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D7342">
        <w:rPr>
          <w:rFonts w:ascii="Times New Roman" w:eastAsia="PMingLiU" w:hAnsi="Times New Roman" w:cs="Times New Roman"/>
          <w:sz w:val="24"/>
          <w:szCs w:val="24"/>
          <w:u w:val="single"/>
          <w:lang w:eastAsia="zh-TW"/>
        </w:rPr>
        <w:t>Workers Compensation</w:t>
      </w:r>
    </w:p>
    <w:p w:rsidR="008C0115" w:rsidRPr="001D7342" w:rsidRDefault="008C0115" w:rsidP="008C01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8C0115" w:rsidRPr="001D7342" w:rsidRDefault="008C0115" w:rsidP="008C01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Commercial General Liability</w:t>
      </w:r>
    </w:p>
    <w:p w:rsidR="008C0115" w:rsidRPr="001D7342" w:rsidRDefault="008C0115" w:rsidP="008C0115">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8C0115" w:rsidRPr="001D7342" w:rsidRDefault="008C0115" w:rsidP="008C0115">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8C0115" w:rsidRPr="001D7342" w:rsidRDefault="008C0115" w:rsidP="008C0115">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u w:val="single"/>
          <w:lang w:eastAsia="zh-TW"/>
        </w:rPr>
        <w:t>Automobile Liability</w:t>
      </w:r>
    </w:p>
    <w:p w:rsidR="008C0115" w:rsidRPr="001D7342" w:rsidRDefault="008C0115" w:rsidP="008C0115">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D7342">
        <w:rPr>
          <w:rFonts w:ascii="Times New Roman" w:eastAsia="PMingLiU" w:hAnsi="Times New Roman" w:cs="Times New Roman"/>
          <w:sz w:val="24"/>
          <w:szCs w:val="24"/>
          <w:lang w:eastAsia="zh-TW"/>
        </w:rPr>
        <w:noBreakHyphen/>
        <w:t>owned automobiles.</w:t>
      </w: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Deductibles and Self</w:t>
      </w:r>
      <w:r w:rsidRPr="001D7342">
        <w:rPr>
          <w:rFonts w:ascii="Times New Roman" w:eastAsia="PMingLiU" w:hAnsi="Times New Roman" w:cs="Times New Roman"/>
          <w:sz w:val="24"/>
          <w:szCs w:val="24"/>
          <w:u w:val="single"/>
          <w:lang w:eastAsia="zh-TW"/>
        </w:rPr>
        <w:noBreakHyphen/>
        <w:t>Insured Retentions</w:t>
      </w:r>
    </w:p>
    <w:p w:rsidR="008C0115" w:rsidRPr="001D7342" w:rsidRDefault="008C0115" w:rsidP="008C0115">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cs="Times New Roman"/>
          <w:sz w:val="24"/>
          <w:szCs w:val="24"/>
          <w:lang w:eastAsia="zh-TW"/>
        </w:rPr>
      </w:pP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8C0115" w:rsidRPr="001D7342" w:rsidRDefault="008C0115" w:rsidP="008C0115">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C.</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Other Insurance Provisions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The policies are to contain, or be endorsed to contain, the following provisions: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Commercial General Liability, Automobile Liability, and Cyber Liability Coverages</w:t>
      </w:r>
    </w:p>
    <w:p w:rsidR="008C0115" w:rsidRPr="001D7342" w:rsidRDefault="008C0115" w:rsidP="008C0115">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1"/>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8C0115" w:rsidRPr="001D7342" w:rsidRDefault="008C0115" w:rsidP="008C0115">
      <w:pPr>
        <w:pStyle w:val="ListParagraph"/>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The Contractor’s insurance shall be primary as respects the Agency, its officers, agents, </w:t>
      </w:r>
      <w:r w:rsidRPr="001D7342">
        <w:rPr>
          <w:rFonts w:ascii="Times New Roman" w:eastAsia="PMingLiU" w:hAnsi="Times New Roman" w:cs="Times New Roman"/>
          <w:sz w:val="24"/>
          <w:szCs w:val="24"/>
          <w:lang w:eastAsia="zh-TW"/>
        </w:rPr>
        <w:lastRenderedPageBreak/>
        <w:t>employees and volunteers for any and all losses that occur under the contract.  Any insurance or self-insurance maintained by the Agency shall be excess and non-contributory of the Contractor’s insurance.</w:t>
      </w:r>
    </w:p>
    <w:p w:rsidR="008C0115" w:rsidRDefault="008C0115" w:rsidP="008C011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B15B80" w:rsidRPr="001D7342" w:rsidRDefault="00B15B80" w:rsidP="008C0115">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Workers Compensation and Employers Liability Coverage</w:t>
      </w:r>
    </w:p>
    <w:p w:rsidR="008C0115" w:rsidRPr="001D7342" w:rsidRDefault="008C0115" w:rsidP="008C0115">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p>
    <w:p w:rsidR="008C0115" w:rsidRPr="001D7342" w:rsidRDefault="008C0115" w:rsidP="008C0115">
      <w:pPr>
        <w:pStyle w:val="ListParagraph"/>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Coverages</w:t>
      </w:r>
    </w:p>
    <w:p w:rsidR="008C0115" w:rsidRPr="001D7342" w:rsidRDefault="008C0115" w:rsidP="008C0115">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8C0115" w:rsidRPr="001D7342" w:rsidRDefault="008C0115" w:rsidP="008C0115">
      <w:pPr>
        <w:pStyle w:val="ListParagraph"/>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D.</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Acceptability of Insurers</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D7342">
        <w:rPr>
          <w:rFonts w:ascii="Times New Roman" w:eastAsia="PMingLiU" w:hAnsi="Times New Roman" w:cs="Times New Roman"/>
          <w:b/>
          <w:sz w:val="24"/>
          <w:szCs w:val="24"/>
          <w:lang w:eastAsia="zh-TW"/>
        </w:rPr>
        <w:t>A-</w:t>
      </w:r>
      <w:proofErr w:type="gramStart"/>
      <w:r w:rsidRPr="001D7342">
        <w:rPr>
          <w:rFonts w:ascii="Times New Roman" w:eastAsia="PMingLiU" w:hAnsi="Times New Roman" w:cs="Times New Roman"/>
          <w:b/>
          <w:sz w:val="24"/>
          <w:szCs w:val="24"/>
          <w:lang w:eastAsia="zh-TW"/>
        </w:rPr>
        <w:t>:VI</w:t>
      </w:r>
      <w:proofErr w:type="gramEnd"/>
      <w:r w:rsidRPr="001D7342">
        <w:rPr>
          <w:rFonts w:ascii="Times New Roman" w:eastAsia="PMingLiU" w:hAnsi="Times New Roman" w:cs="Times New Roman"/>
          <w:b/>
          <w:sz w:val="24"/>
          <w:szCs w:val="24"/>
          <w:lang w:eastAsia="zh-TW"/>
        </w:rPr>
        <w:t xml:space="preserve"> or higher</w:t>
      </w:r>
      <w:r w:rsidRPr="001D7342">
        <w:rPr>
          <w:rFonts w:ascii="Times New Roman" w:eastAsia="PMingLiU" w:hAnsi="Times New Roman" w:cs="Times New Roman"/>
          <w:sz w:val="24"/>
          <w:szCs w:val="24"/>
          <w:lang w:eastAsia="zh-TW"/>
        </w:rPr>
        <w:t xml:space="preserve">.  This rating requirement may be waived for workers’ compensation coverage only. </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 </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E.</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Verification of Coverage</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Default="008C0115" w:rsidP="0027519B">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w:t>
      </w:r>
      <w:r w:rsidR="0027519B">
        <w:rPr>
          <w:rFonts w:ascii="Times New Roman" w:eastAsia="PMingLiU" w:hAnsi="Times New Roman" w:cs="Times New Roman"/>
          <w:sz w:val="24"/>
          <w:szCs w:val="24"/>
          <w:lang w:eastAsia="zh-TW"/>
        </w:rPr>
        <w:lastRenderedPageBreak/>
        <w:t>renewal thereafter.</w:t>
      </w:r>
    </w:p>
    <w:p w:rsidR="0027519B" w:rsidRPr="0027519B" w:rsidRDefault="0027519B" w:rsidP="0027519B">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The Certificate Holder should be listed as follows:</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State of Louisiana</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Office of State Procurement</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1201 N. Third St. Suite 2-160</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Baton Rouge, LA 70802</w:t>
      </w:r>
    </w:p>
    <w:p w:rsidR="008C0115" w:rsidRPr="001D7342" w:rsidRDefault="008C0115" w:rsidP="00B15B8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8C0115" w:rsidRPr="001D7342" w:rsidRDefault="008C0115" w:rsidP="008C0115">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cs="Times New Roman"/>
          <w:sz w:val="24"/>
          <w:szCs w:val="24"/>
          <w:lang w:eastAsia="zh-TW"/>
        </w:rPr>
      </w:pPr>
    </w:p>
    <w:p w:rsidR="008C0115" w:rsidRPr="001D7342" w:rsidRDefault="008C0115" w:rsidP="008C0115">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8C0115" w:rsidRPr="001D7342" w:rsidRDefault="008C0115" w:rsidP="008C0115">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b/>
          <w:sz w:val="24"/>
          <w:szCs w:val="24"/>
          <w:lang w:eastAsia="zh-TW"/>
        </w:rPr>
      </w:pPr>
    </w:p>
    <w:p w:rsidR="008C0115" w:rsidRPr="001D7342" w:rsidRDefault="008C0115" w:rsidP="008C0115">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F.</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Subcontractors</w:t>
      </w:r>
    </w:p>
    <w:p w:rsidR="008C0115" w:rsidRPr="001D7342" w:rsidRDefault="008C0115" w:rsidP="008C0115">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lang w:eastAsia="zh-TW"/>
        </w:rPr>
        <w:tab/>
        <w:t>G.</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Workers Compensation Indemnity</w:t>
      </w:r>
    </w:p>
    <w:p w:rsidR="008C0115" w:rsidRPr="001D7342" w:rsidRDefault="008C0115" w:rsidP="008C0115">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cs="Times New Roman"/>
          <w:iCs/>
          <w:sz w:val="24"/>
          <w:szCs w:val="24"/>
          <w:lang w:eastAsia="zh-TW"/>
        </w:rPr>
      </w:pPr>
      <w:r w:rsidRPr="001D734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8C0115" w:rsidRDefault="008C0115" w:rsidP="008C0115">
      <w:pPr>
        <w:tabs>
          <w:tab w:val="left" w:pos="360"/>
        </w:tabs>
        <w:spacing w:after="0"/>
        <w:rPr>
          <w:rFonts w:ascii="Times New Roman" w:eastAsia="PMingLiU" w:hAnsi="Times New Roman" w:cs="Times New Roman"/>
          <w:sz w:val="24"/>
          <w:szCs w:val="24"/>
          <w:lang w:eastAsia="zh-TW"/>
        </w:rPr>
      </w:pPr>
    </w:p>
    <w:p w:rsidR="009A68CF" w:rsidRDefault="009A68CF" w:rsidP="008C0115">
      <w:pPr>
        <w:tabs>
          <w:tab w:val="left" w:pos="360"/>
        </w:tabs>
        <w:spacing w:after="0"/>
        <w:rPr>
          <w:rFonts w:ascii="Times New Roman" w:eastAsia="PMingLiU" w:hAnsi="Times New Roman" w:cs="Times New Roman"/>
          <w:sz w:val="24"/>
          <w:szCs w:val="24"/>
          <w:lang w:eastAsia="zh-TW"/>
        </w:rPr>
      </w:pPr>
    </w:p>
    <w:p w:rsidR="009A68CF" w:rsidRDefault="009A68CF" w:rsidP="008C0115">
      <w:pPr>
        <w:tabs>
          <w:tab w:val="left" w:pos="360"/>
        </w:tabs>
        <w:spacing w:after="0"/>
        <w:rPr>
          <w:rFonts w:ascii="Times New Roman" w:eastAsia="PMingLiU" w:hAnsi="Times New Roman" w:cs="Times New Roman"/>
          <w:sz w:val="24"/>
          <w:szCs w:val="24"/>
          <w:lang w:eastAsia="zh-TW"/>
        </w:rPr>
      </w:pPr>
    </w:p>
    <w:p w:rsidR="009A68CF" w:rsidRPr="001D7342" w:rsidRDefault="009A68CF" w:rsidP="008C0115">
      <w:pPr>
        <w:tabs>
          <w:tab w:val="left" w:pos="360"/>
        </w:tabs>
        <w:spacing w:after="0"/>
        <w:rPr>
          <w:rFonts w:ascii="Times New Roman" w:eastAsia="PMingLiU" w:hAnsi="Times New Roman" w:cs="Times New Roman"/>
          <w:sz w:val="24"/>
          <w:szCs w:val="24"/>
          <w:lang w:eastAsia="zh-TW"/>
        </w:rPr>
      </w:pPr>
      <w:bookmarkStart w:id="0" w:name="_GoBack"/>
      <w:bookmarkEnd w:id="0"/>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lastRenderedPageBreak/>
        <w:tab/>
      </w:r>
      <w:r w:rsidRPr="001D7342">
        <w:rPr>
          <w:rFonts w:ascii="Times New Roman" w:eastAsia="PMingLiU" w:hAnsi="Times New Roman" w:cs="Times New Roman"/>
          <w:sz w:val="24"/>
          <w:szCs w:val="24"/>
          <w:lang w:eastAsia="zh-TW"/>
        </w:rPr>
        <w:tab/>
        <w:t>H.</w:t>
      </w:r>
      <w:r w:rsidRPr="001D7342">
        <w:rPr>
          <w:rFonts w:ascii="Times New Roman" w:eastAsia="PMingLiU" w:hAnsi="Times New Roman" w:cs="Times New Roman"/>
          <w:sz w:val="24"/>
          <w:szCs w:val="24"/>
          <w:lang w:eastAsia="zh-TW"/>
        </w:rPr>
        <w:tab/>
      </w:r>
      <w:r w:rsidRPr="001D7342">
        <w:rPr>
          <w:rFonts w:ascii="Times New Roman" w:eastAsia="PMingLiU" w:hAnsi="Times New Roman" w:cs="Times New Roman"/>
          <w:sz w:val="24"/>
          <w:szCs w:val="24"/>
          <w:u w:val="single"/>
          <w:lang w:eastAsia="zh-TW"/>
        </w:rPr>
        <w:t>Indemnification/Hold Harmless Agreement</w:t>
      </w:r>
    </w:p>
    <w:p w:rsidR="008C0115" w:rsidRPr="001D7342" w:rsidRDefault="008C0115" w:rsidP="008C0115">
      <w:pPr>
        <w:tabs>
          <w:tab w:val="left" w:pos="360"/>
        </w:tabs>
        <w:spacing w:after="0"/>
        <w:rPr>
          <w:rFonts w:ascii="Times New Roman" w:eastAsia="PMingLiU" w:hAnsi="Times New Roman" w:cs="Times New Roman"/>
          <w:sz w:val="24"/>
          <w:szCs w:val="24"/>
          <w:lang w:eastAsia="zh-TW"/>
        </w:rPr>
      </w:pPr>
    </w:p>
    <w:p w:rsidR="008C0115" w:rsidRPr="001D7342" w:rsidRDefault="008C0115" w:rsidP="008C0115">
      <w:pPr>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8C0115" w:rsidRPr="001D7342" w:rsidRDefault="008C0115" w:rsidP="008C0115">
      <w:pPr>
        <w:tabs>
          <w:tab w:val="left" w:pos="-720"/>
        </w:tabs>
        <w:spacing w:after="0"/>
        <w:ind w:left="360"/>
        <w:rPr>
          <w:rFonts w:ascii="Times New Roman" w:eastAsia="PMingLiU" w:hAnsi="Times New Roman" w:cs="Times New Roman"/>
          <w:sz w:val="24"/>
          <w:szCs w:val="24"/>
          <w:lang w:eastAsia="zh-TW"/>
        </w:rPr>
      </w:pPr>
    </w:p>
    <w:p w:rsidR="008C0115" w:rsidRPr="00196C7A" w:rsidRDefault="008C0115" w:rsidP="008C0115">
      <w:pPr>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D734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BC0ADE" w:rsidRDefault="00BC0ADE" w:rsidP="006F69D9">
      <w:pPr>
        <w:contextualSpacing/>
        <w:rPr>
          <w:rFonts w:ascii="Times New Roman" w:hAnsi="Times New Roman"/>
          <w:sz w:val="24"/>
          <w:szCs w:val="24"/>
        </w:rPr>
      </w:pPr>
    </w:p>
    <w:p w:rsidR="00B15B80" w:rsidRPr="00BC0ADE" w:rsidRDefault="00B15B80" w:rsidP="00B15B80">
      <w:pPr>
        <w:contextualSpacing/>
        <w:rPr>
          <w:rFonts w:ascii="Times New Roman" w:hAnsi="Times New Roman"/>
          <w:b/>
          <w:sz w:val="24"/>
          <w:szCs w:val="24"/>
        </w:rPr>
      </w:pPr>
      <w:r w:rsidRPr="00BC0ADE">
        <w:rPr>
          <w:rFonts w:ascii="Times New Roman" w:hAnsi="Times New Roman"/>
          <w:b/>
          <w:bCs/>
          <w:sz w:val="24"/>
          <w:szCs w:val="24"/>
        </w:rPr>
        <w:t>1</w:t>
      </w:r>
      <w:r w:rsidR="00DC4DD2">
        <w:rPr>
          <w:rFonts w:ascii="Times New Roman" w:hAnsi="Times New Roman"/>
          <w:b/>
          <w:bCs/>
          <w:sz w:val="24"/>
          <w:szCs w:val="24"/>
        </w:rPr>
        <w:t>8</w:t>
      </w:r>
      <w:r w:rsidRPr="00BC0ADE">
        <w:rPr>
          <w:rFonts w:ascii="Times New Roman" w:hAnsi="Times New Roman"/>
          <w:b/>
          <w:bCs/>
          <w:sz w:val="24"/>
          <w:szCs w:val="24"/>
        </w:rPr>
        <w:t>.</w:t>
      </w:r>
      <w:r w:rsidRPr="00BC0ADE">
        <w:rPr>
          <w:rFonts w:ascii="Times New Roman" w:hAnsi="Times New Roman"/>
          <w:b/>
          <w:bCs/>
          <w:sz w:val="24"/>
          <w:szCs w:val="24"/>
        </w:rPr>
        <w:tab/>
      </w:r>
      <w:r w:rsidRPr="00BC0ADE">
        <w:rPr>
          <w:rFonts w:ascii="Times New Roman" w:hAnsi="Times New Roman"/>
          <w:b/>
          <w:sz w:val="24"/>
          <w:szCs w:val="24"/>
        </w:rPr>
        <w:t>New FY Delivery:</w:t>
      </w:r>
    </w:p>
    <w:p w:rsidR="00B15B80" w:rsidRPr="00BC0ADE" w:rsidRDefault="00B15B80" w:rsidP="00B15B80">
      <w:pPr>
        <w:ind w:left="720"/>
        <w:contextualSpacing/>
        <w:rPr>
          <w:rFonts w:ascii="Times New Roman" w:hAnsi="Times New Roman"/>
          <w:sz w:val="24"/>
          <w:szCs w:val="24"/>
        </w:rPr>
      </w:pPr>
      <w:r w:rsidRPr="00BC0ADE">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09367F" w:rsidRPr="005117F7" w:rsidRDefault="0009367F" w:rsidP="007B790E">
      <w:pPr>
        <w:contextualSpacing/>
        <w:rPr>
          <w:rFonts w:ascii="Times New Roman" w:eastAsia="Times New Roman" w:hAnsi="Times New Roman" w:cs="Times New Roman"/>
          <w:sz w:val="24"/>
          <w:szCs w:val="24"/>
        </w:rPr>
      </w:pPr>
    </w:p>
    <w:p w:rsidR="001856F5" w:rsidRPr="0029441D" w:rsidRDefault="00CA73D6" w:rsidP="00305D3E">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023A76" w:rsidRPr="006F69D9" w:rsidRDefault="001856F5" w:rsidP="006F69D9">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1"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sectPr w:rsidR="00023A76" w:rsidRPr="006F69D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9A68CF">
      <w:rPr>
        <w:rFonts w:ascii="Times New Roman" w:hAnsi="Times New Roman" w:cs="Times New Roman"/>
        <w:noProof/>
      </w:rPr>
      <w:t>10</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9A68CF">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50069">
      <w:rPr>
        <w:rFonts w:ascii="Times New Roman" w:hAnsi="Times New Roman" w:cs="Times New Roman"/>
        <w:sz w:val="24"/>
        <w:szCs w:val="24"/>
      </w:rPr>
      <w:t xml:space="preserve"> </w:t>
    </w:r>
    <w:r w:rsidR="00DC4DD2">
      <w:rPr>
        <w:rFonts w:ascii="Times New Roman" w:hAnsi="Times New Roman" w:cs="Times New Roman"/>
        <w:sz w:val="24"/>
        <w:szCs w:val="24"/>
      </w:rPr>
      <w:t>3000025040</w:t>
    </w:r>
    <w:r w:rsidR="008C0115">
      <w:rPr>
        <w:rFonts w:ascii="Times New Roman" w:hAnsi="Times New Roman" w:cs="Times New Roman"/>
        <w:sz w:val="24"/>
        <w:szCs w:val="24"/>
      </w:rPr>
      <w:t xml:space="preserve">      </w:t>
    </w:r>
    <w:r w:rsidR="00C37D7B">
      <w:rPr>
        <w:rFonts w:ascii="Times New Roman" w:hAnsi="Times New Roman" w:cs="Times New Roman"/>
        <w:sz w:val="24"/>
        <w:szCs w:val="24"/>
      </w:rPr>
      <w:tab/>
      <w:t xml:space="preserve">         </w:t>
    </w:r>
    <w:r w:rsidR="0027519B">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DC4DD2" w:rsidRPr="00DC4DD2">
      <w:rPr>
        <w:rFonts w:ascii="Times New Roman" w:hAnsi="Times New Roman" w:cs="Times New Roman"/>
        <w:sz w:val="24"/>
        <w:szCs w:val="24"/>
      </w:rPr>
      <w:t>*Re-Bid* Evidence Container - DPS-LSP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978EE"/>
    <w:multiLevelType w:val="hybridMultilevel"/>
    <w:tmpl w:val="459C0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4"/>
  </w:num>
  <w:num w:numId="4">
    <w:abstractNumId w:val="4"/>
  </w:num>
  <w:num w:numId="5">
    <w:abstractNumId w:val="8"/>
  </w:num>
  <w:num w:numId="6">
    <w:abstractNumId w:val="23"/>
  </w:num>
  <w:num w:numId="7">
    <w:abstractNumId w:val="18"/>
  </w:num>
  <w:num w:numId="8">
    <w:abstractNumId w:val="25"/>
  </w:num>
  <w:num w:numId="9">
    <w:abstractNumId w:val="27"/>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02B91"/>
    <w:rsid w:val="00023A76"/>
    <w:rsid w:val="00031063"/>
    <w:rsid w:val="000337DE"/>
    <w:rsid w:val="000370F6"/>
    <w:rsid w:val="00040151"/>
    <w:rsid w:val="000453BD"/>
    <w:rsid w:val="00054308"/>
    <w:rsid w:val="000569EF"/>
    <w:rsid w:val="00062E8C"/>
    <w:rsid w:val="0007126A"/>
    <w:rsid w:val="00075C57"/>
    <w:rsid w:val="0008674F"/>
    <w:rsid w:val="0009367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A670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6609A"/>
    <w:rsid w:val="00271042"/>
    <w:rsid w:val="0027519B"/>
    <w:rsid w:val="0027519E"/>
    <w:rsid w:val="00280682"/>
    <w:rsid w:val="0028313D"/>
    <w:rsid w:val="0028602B"/>
    <w:rsid w:val="00291FEE"/>
    <w:rsid w:val="0029441D"/>
    <w:rsid w:val="002A0426"/>
    <w:rsid w:val="002A4E18"/>
    <w:rsid w:val="002A5A28"/>
    <w:rsid w:val="002B0FA8"/>
    <w:rsid w:val="002B2940"/>
    <w:rsid w:val="002B45DB"/>
    <w:rsid w:val="00305D3E"/>
    <w:rsid w:val="00325E89"/>
    <w:rsid w:val="003263E8"/>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44F56"/>
    <w:rsid w:val="00450069"/>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AB2"/>
    <w:rsid w:val="004D3588"/>
    <w:rsid w:val="004D5637"/>
    <w:rsid w:val="004E1B15"/>
    <w:rsid w:val="004E3B86"/>
    <w:rsid w:val="004F1116"/>
    <w:rsid w:val="005117F7"/>
    <w:rsid w:val="00513C1B"/>
    <w:rsid w:val="00521F9D"/>
    <w:rsid w:val="00522169"/>
    <w:rsid w:val="00523733"/>
    <w:rsid w:val="00525147"/>
    <w:rsid w:val="00526DAB"/>
    <w:rsid w:val="0053232F"/>
    <w:rsid w:val="00540D29"/>
    <w:rsid w:val="00543253"/>
    <w:rsid w:val="005459F9"/>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9D9"/>
    <w:rsid w:val="006F6A58"/>
    <w:rsid w:val="007005F8"/>
    <w:rsid w:val="0072093B"/>
    <w:rsid w:val="00720A8E"/>
    <w:rsid w:val="0073309B"/>
    <w:rsid w:val="00744179"/>
    <w:rsid w:val="007539D1"/>
    <w:rsid w:val="00781D34"/>
    <w:rsid w:val="007943D3"/>
    <w:rsid w:val="007A13E0"/>
    <w:rsid w:val="007A7C1D"/>
    <w:rsid w:val="007B29CA"/>
    <w:rsid w:val="007B752C"/>
    <w:rsid w:val="007B790E"/>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C0115"/>
    <w:rsid w:val="008E4019"/>
    <w:rsid w:val="008E5CB0"/>
    <w:rsid w:val="008E7EAE"/>
    <w:rsid w:val="008F0652"/>
    <w:rsid w:val="009000B6"/>
    <w:rsid w:val="00903F4A"/>
    <w:rsid w:val="00915BCA"/>
    <w:rsid w:val="009329D4"/>
    <w:rsid w:val="009354EB"/>
    <w:rsid w:val="00941E1A"/>
    <w:rsid w:val="00954BF7"/>
    <w:rsid w:val="00970317"/>
    <w:rsid w:val="0097088C"/>
    <w:rsid w:val="00974551"/>
    <w:rsid w:val="009758D8"/>
    <w:rsid w:val="00983322"/>
    <w:rsid w:val="00983799"/>
    <w:rsid w:val="00993870"/>
    <w:rsid w:val="00994FBB"/>
    <w:rsid w:val="009A5DDA"/>
    <w:rsid w:val="009A68CF"/>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4058"/>
    <w:rsid w:val="00AC57CE"/>
    <w:rsid w:val="00AD0331"/>
    <w:rsid w:val="00AE3925"/>
    <w:rsid w:val="00AF2AE4"/>
    <w:rsid w:val="00B0124B"/>
    <w:rsid w:val="00B01752"/>
    <w:rsid w:val="00B12026"/>
    <w:rsid w:val="00B15B80"/>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0ADE"/>
    <w:rsid w:val="00BC1303"/>
    <w:rsid w:val="00BC72A0"/>
    <w:rsid w:val="00BD606A"/>
    <w:rsid w:val="00BE657B"/>
    <w:rsid w:val="00C040DC"/>
    <w:rsid w:val="00C06802"/>
    <w:rsid w:val="00C10B40"/>
    <w:rsid w:val="00C116B5"/>
    <w:rsid w:val="00C243E5"/>
    <w:rsid w:val="00C25406"/>
    <w:rsid w:val="00C33CF6"/>
    <w:rsid w:val="00C3774E"/>
    <w:rsid w:val="00C37BC0"/>
    <w:rsid w:val="00C37D7B"/>
    <w:rsid w:val="00C41F6E"/>
    <w:rsid w:val="00C53AC0"/>
    <w:rsid w:val="00C57807"/>
    <w:rsid w:val="00C57F8C"/>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4DD2"/>
    <w:rsid w:val="00DC73FA"/>
    <w:rsid w:val="00DE0E4A"/>
    <w:rsid w:val="00E05B57"/>
    <w:rsid w:val="00E215E2"/>
    <w:rsid w:val="00E2388E"/>
    <w:rsid w:val="00E275B6"/>
    <w:rsid w:val="00E54553"/>
    <w:rsid w:val="00E60C50"/>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125B6"/>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AD709B6"/>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66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ee.Bullock@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F963D-99E5-43B7-B3B1-45AEA74F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197</TotalTime>
  <Pages>10</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30</cp:revision>
  <cp:lastPrinted>2022-05-19T21:13:00Z</cp:lastPrinted>
  <dcterms:created xsi:type="dcterms:W3CDTF">2024-04-23T15:16:00Z</dcterms:created>
  <dcterms:modified xsi:type="dcterms:W3CDTF">2025-06-16T16:13:00Z</dcterms:modified>
</cp:coreProperties>
</file>