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bookmarkStart w:id="0" w:name="_GoBack"/>
      <w:bookmarkEnd w:id="0"/>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AA45E8"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AA45E8"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AA45E8"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w:t>
      </w:r>
      <w:r w:rsidR="00BF62CA">
        <w:rPr>
          <w:rFonts w:ascii="Times New Roman" w:hAnsi="Times New Roman" w:cs="Times New Roman"/>
          <w:sz w:val="24"/>
          <w:szCs w:val="24"/>
        </w:rPr>
        <w:t>e</w:t>
      </w:r>
      <w:r w:rsidR="005950D0" w:rsidRPr="00C12D28">
        <w:rPr>
          <w:rFonts w:ascii="Times New Roman" w:hAnsi="Times New Roman" w:cs="Times New Roman"/>
          <w:sz w:val="24"/>
          <w:szCs w:val="24"/>
        </w:rPr>
        <w:t xml:space="preserve">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ayment will be made on the basis of unit price as listed in th</w:t>
      </w:r>
      <w:r w:rsidR="00BF62CA">
        <w:rPr>
          <w:rFonts w:ascii="Times New Roman" w:eastAsia="Times New Roman" w:hAnsi="Times New Roman" w:cs="Times New Roman"/>
          <w:sz w:val="24"/>
          <w:szCs w:val="24"/>
        </w:rPr>
        <w:t>e</w:t>
      </w:r>
      <w:r w:rsidRPr="00725C3E">
        <w:rPr>
          <w:rFonts w:ascii="Times New Roman" w:eastAsia="Times New Roman" w:hAnsi="Times New Roman" w:cs="Times New Roman"/>
          <w:sz w:val="24"/>
          <w:szCs w:val="24"/>
        </w:rPr>
        <w:t xml:space="preserve">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5E8" w:rsidRDefault="00AA45E8" w:rsidP="00D86773">
      <w:r>
        <w:separator/>
      </w:r>
    </w:p>
  </w:endnote>
  <w:endnote w:type="continuationSeparator" w:id="0">
    <w:p w:rsidR="00AA45E8" w:rsidRDefault="00AA45E8"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8E4C95">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8E4C95">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5E8" w:rsidRDefault="00AA45E8" w:rsidP="00D86773">
      <w:r>
        <w:separator/>
      </w:r>
    </w:p>
  </w:footnote>
  <w:footnote w:type="continuationSeparator" w:id="0">
    <w:p w:rsidR="00AA45E8" w:rsidRDefault="00AA45E8"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8E4C95">
      <w:rPr>
        <w:rFonts w:ascii="Times New Roman" w:hAnsi="Times New Roman" w:cs="Times New Roman"/>
        <w:b/>
        <w:iCs/>
        <w:sz w:val="24"/>
        <w:szCs w:val="24"/>
      </w:rPr>
      <w:t>24903</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73102D">
      <w:rPr>
        <w:rFonts w:ascii="Times New Roman" w:hAnsi="Times New Roman" w:cs="Times New Roman"/>
        <w:b/>
        <w:iCs/>
        <w:sz w:val="24"/>
        <w:szCs w:val="24"/>
      </w:rPr>
      <w:tab/>
    </w:r>
    <w:r w:rsidR="00A12004">
      <w:rPr>
        <w:rFonts w:ascii="Times New Roman" w:hAnsi="Times New Roman" w:cs="Times New Roman"/>
        <w:b/>
        <w:iCs/>
        <w:sz w:val="24"/>
        <w:szCs w:val="24"/>
      </w:rPr>
      <w:tab/>
    </w:r>
    <w:r w:rsidR="00E260B4">
      <w:rPr>
        <w:rFonts w:ascii="Times New Roman" w:hAnsi="Times New Roman" w:cs="Times New Roman"/>
        <w:b/>
        <w:iCs/>
        <w:sz w:val="24"/>
        <w:szCs w:val="24"/>
      </w:rPr>
      <w:tab/>
    </w:r>
    <w:r w:rsidR="00BF62CA">
      <w:rPr>
        <w:rFonts w:ascii="Times New Roman" w:hAnsi="Times New Roman" w:cs="Times New Roman"/>
        <w:b/>
        <w:iCs/>
        <w:sz w:val="24"/>
        <w:szCs w:val="24"/>
      </w:rPr>
      <w:t xml:space="preserve">Stake Body </w:t>
    </w:r>
    <w:r w:rsidR="008E4C95">
      <w:rPr>
        <w:rFonts w:ascii="Times New Roman" w:hAnsi="Times New Roman" w:cs="Times New Roman"/>
        <w:b/>
        <w:iCs/>
        <w:sz w:val="24"/>
        <w:szCs w:val="24"/>
      </w:rPr>
      <w:t>w/Lift Gate</w:t>
    </w:r>
    <w:r w:rsidR="00BF62CA">
      <w:rPr>
        <w:rFonts w:ascii="Times New Roman" w:hAnsi="Times New Roman" w:cs="Times New Roman"/>
        <w:b/>
        <w:iCs/>
        <w:sz w:val="24"/>
        <w:szCs w:val="24"/>
      </w:rPr>
      <w:t xml:space="preserve">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2AE"/>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41593"/>
    <w:rsid w:val="00551326"/>
    <w:rsid w:val="005529F5"/>
    <w:rsid w:val="00557FC2"/>
    <w:rsid w:val="005606C9"/>
    <w:rsid w:val="00561B85"/>
    <w:rsid w:val="00566E10"/>
    <w:rsid w:val="00571075"/>
    <w:rsid w:val="00572BCA"/>
    <w:rsid w:val="00586111"/>
    <w:rsid w:val="005925BC"/>
    <w:rsid w:val="00592F0E"/>
    <w:rsid w:val="005950D0"/>
    <w:rsid w:val="005A0127"/>
    <w:rsid w:val="005A6C9E"/>
    <w:rsid w:val="005B21B6"/>
    <w:rsid w:val="005B6421"/>
    <w:rsid w:val="005B6554"/>
    <w:rsid w:val="005C0682"/>
    <w:rsid w:val="005C38E4"/>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E69DE"/>
    <w:rsid w:val="006F1BD5"/>
    <w:rsid w:val="006F40E7"/>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4C95"/>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5FD9"/>
    <w:rsid w:val="00996821"/>
    <w:rsid w:val="00997108"/>
    <w:rsid w:val="009B0D2E"/>
    <w:rsid w:val="009C2CC5"/>
    <w:rsid w:val="009D4BB7"/>
    <w:rsid w:val="009E4093"/>
    <w:rsid w:val="009F089A"/>
    <w:rsid w:val="009F354D"/>
    <w:rsid w:val="00A0508D"/>
    <w:rsid w:val="00A12004"/>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A45E8"/>
    <w:rsid w:val="00AB0026"/>
    <w:rsid w:val="00AB1650"/>
    <w:rsid w:val="00AC2A03"/>
    <w:rsid w:val="00AD3AC0"/>
    <w:rsid w:val="00AE34E8"/>
    <w:rsid w:val="00AE393C"/>
    <w:rsid w:val="00AE570B"/>
    <w:rsid w:val="00AE797E"/>
    <w:rsid w:val="00B11789"/>
    <w:rsid w:val="00B11841"/>
    <w:rsid w:val="00B14266"/>
    <w:rsid w:val="00B14992"/>
    <w:rsid w:val="00B2363D"/>
    <w:rsid w:val="00B24D37"/>
    <w:rsid w:val="00B34CF3"/>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BF62CA"/>
    <w:rsid w:val="00C027C9"/>
    <w:rsid w:val="00C034F5"/>
    <w:rsid w:val="00C106FA"/>
    <w:rsid w:val="00C12D28"/>
    <w:rsid w:val="00C1448B"/>
    <w:rsid w:val="00C242B0"/>
    <w:rsid w:val="00C30C73"/>
    <w:rsid w:val="00C51522"/>
    <w:rsid w:val="00C57188"/>
    <w:rsid w:val="00C61C89"/>
    <w:rsid w:val="00C61F4A"/>
    <w:rsid w:val="00C627F7"/>
    <w:rsid w:val="00C63714"/>
    <w:rsid w:val="00C75804"/>
    <w:rsid w:val="00C830DF"/>
    <w:rsid w:val="00C8790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06E0E"/>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FE99B-E720-48BF-93F1-84952998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2395</Words>
  <Characters>16363</Characters>
  <Application>Microsoft Office Word</Application>
  <DocSecurity>0</DocSecurity>
  <Lines>909</Lines>
  <Paragraphs>468</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2025-02-12T22:37:00Z</cp:lastPrinted>
  <dcterms:created xsi:type="dcterms:W3CDTF">2025-05-29T22:37:00Z</dcterms:created>
  <dcterms:modified xsi:type="dcterms:W3CDTF">2025-05-29T22:37:00Z</dcterms:modified>
</cp:coreProperties>
</file>