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C305BD">
        <w:rPr>
          <w:rFonts w:ascii="Times New Roman" w:hAnsi="Times New Roman" w:cs="Times New Roman"/>
          <w:sz w:val="24"/>
          <w:szCs w:val="24"/>
        </w:rPr>
        <w:t>, 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C305BD">
        <w:rPr>
          <w:rFonts w:ascii="Times New Roman" w:hAnsi="Times New Roman" w:cs="Times New Roman"/>
          <w:sz w:val="24"/>
          <w:szCs w:val="24"/>
        </w:rPr>
        <w:t>, 2026</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C305BD"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C305BD" w:rsidRDefault="00C305BD" w:rsidP="00C305BD">
      <w:pPr>
        <w:pStyle w:val="ListParagraph"/>
        <w:rPr>
          <w:rFonts w:ascii="Times New Roman" w:hAnsi="Times New Roman" w:cs="Times New Roman"/>
          <w:bCs/>
          <w:sz w:val="24"/>
          <w:szCs w:val="24"/>
        </w:rPr>
      </w:pPr>
    </w:p>
    <w:p w:rsidR="00C305BD" w:rsidRPr="00C305BD" w:rsidRDefault="00C305BD" w:rsidP="00C305BD">
      <w:pPr>
        <w:spacing w:after="0"/>
        <w:rPr>
          <w:rFonts w:ascii="Times New Roman" w:eastAsia="Calibri" w:hAnsi="Times New Roman"/>
          <w:b/>
          <w:sz w:val="24"/>
          <w:szCs w:val="24"/>
        </w:rPr>
      </w:pPr>
      <w:r w:rsidRPr="00C305BD">
        <w:rPr>
          <w:rFonts w:ascii="Times New Roman" w:hAnsi="Times New Roman"/>
          <w:b/>
          <w:bCs/>
          <w:sz w:val="24"/>
          <w:szCs w:val="24"/>
        </w:rPr>
        <w:t>1</w:t>
      </w:r>
      <w:r>
        <w:rPr>
          <w:rFonts w:ascii="Times New Roman" w:hAnsi="Times New Roman"/>
          <w:b/>
          <w:bCs/>
          <w:sz w:val="24"/>
          <w:szCs w:val="24"/>
        </w:rPr>
        <w:t>7</w:t>
      </w:r>
      <w:r w:rsidRPr="00C305BD">
        <w:rPr>
          <w:rFonts w:ascii="Times New Roman" w:hAnsi="Times New Roman"/>
          <w:b/>
          <w:bCs/>
          <w:sz w:val="24"/>
          <w:szCs w:val="24"/>
        </w:rPr>
        <w:t>.</w:t>
      </w:r>
      <w:r w:rsidRPr="00C305BD">
        <w:rPr>
          <w:rFonts w:ascii="Times New Roman" w:hAnsi="Times New Roman"/>
          <w:b/>
          <w:bCs/>
          <w:sz w:val="24"/>
          <w:szCs w:val="24"/>
        </w:rPr>
        <w:tab/>
      </w:r>
      <w:r w:rsidRPr="00C305BD">
        <w:rPr>
          <w:rFonts w:ascii="Times New Roman" w:eastAsia="Calibri" w:hAnsi="Times New Roman"/>
          <w:b/>
          <w:sz w:val="24"/>
          <w:szCs w:val="24"/>
        </w:rPr>
        <w:t>Medical / Potentially Infectious Waste Transporter Permit Required:</w:t>
      </w:r>
    </w:p>
    <w:p w:rsidR="00C305BD" w:rsidRPr="00C305BD" w:rsidRDefault="00C305BD" w:rsidP="00C305BD">
      <w:pPr>
        <w:spacing w:after="0"/>
        <w:ind w:left="720"/>
        <w:rPr>
          <w:rFonts w:ascii="Times New Roman" w:eastAsia="Calibri" w:hAnsi="Times New Roman"/>
          <w:sz w:val="24"/>
          <w:szCs w:val="24"/>
        </w:rPr>
      </w:pPr>
      <w:r w:rsidRPr="00C305BD">
        <w:rPr>
          <w:rFonts w:ascii="Times New Roman" w:eastAsia="Calibri" w:hAnsi="Times New Roman"/>
          <w:sz w:val="24"/>
          <w:szCs w:val="24"/>
        </w:rPr>
        <w:t>Contractor must be permitted as an infectious waste transporter by the Louisiana Department of Health and Hospitals.  Contractor should furnish permit number with their bid, but must prior to award.</w:t>
      </w:r>
    </w:p>
    <w:p w:rsidR="00C305BD" w:rsidRPr="00C305BD" w:rsidRDefault="00C305BD" w:rsidP="00C305BD">
      <w:pPr>
        <w:spacing w:after="0"/>
        <w:ind w:left="720"/>
        <w:rPr>
          <w:rFonts w:ascii="Times New Roman" w:eastAsia="Calibri" w:hAnsi="Times New Roman"/>
          <w:sz w:val="24"/>
          <w:szCs w:val="24"/>
        </w:rPr>
      </w:pPr>
    </w:p>
    <w:p w:rsidR="00C305BD" w:rsidRPr="00C305BD" w:rsidRDefault="00C305BD" w:rsidP="00C305BD">
      <w:pPr>
        <w:spacing w:after="0"/>
        <w:ind w:left="720"/>
        <w:rPr>
          <w:rFonts w:ascii="Times New Roman" w:eastAsia="Calibri" w:hAnsi="Times New Roman"/>
          <w:sz w:val="24"/>
          <w:szCs w:val="24"/>
        </w:rPr>
      </w:pPr>
      <w:r w:rsidRPr="00C305BD">
        <w:rPr>
          <w:rFonts w:ascii="Times New Roman" w:eastAsia="Calibri" w:hAnsi="Times New Roman"/>
          <w:sz w:val="24"/>
          <w:szCs w:val="24"/>
        </w:rPr>
        <w:t>Contractor Permit No.:______________________</w:t>
      </w:r>
    </w:p>
    <w:p w:rsidR="00C305BD" w:rsidRPr="00C305BD" w:rsidRDefault="00C305BD" w:rsidP="00C305BD">
      <w:pPr>
        <w:spacing w:after="0"/>
        <w:rPr>
          <w:rFonts w:ascii="Times New Roman" w:hAnsi="Times New Roman"/>
          <w:b/>
          <w:bCs/>
          <w:sz w:val="24"/>
          <w:szCs w:val="24"/>
        </w:rPr>
      </w:pPr>
    </w:p>
    <w:p w:rsidR="00C305BD" w:rsidRPr="00C305BD" w:rsidRDefault="00C305BD" w:rsidP="00C305BD">
      <w:pPr>
        <w:spacing w:after="0"/>
        <w:rPr>
          <w:rFonts w:ascii="Times New Roman" w:eastAsia="Calibri" w:hAnsi="Times New Roman"/>
          <w:b/>
          <w:sz w:val="24"/>
          <w:szCs w:val="24"/>
        </w:rPr>
      </w:pPr>
      <w:r w:rsidRPr="00C305BD">
        <w:rPr>
          <w:rFonts w:ascii="Times New Roman" w:hAnsi="Times New Roman"/>
          <w:b/>
          <w:bCs/>
          <w:sz w:val="24"/>
          <w:szCs w:val="24"/>
        </w:rPr>
        <w:t>1</w:t>
      </w:r>
      <w:r>
        <w:rPr>
          <w:rFonts w:ascii="Times New Roman" w:hAnsi="Times New Roman"/>
          <w:b/>
          <w:bCs/>
          <w:sz w:val="24"/>
          <w:szCs w:val="24"/>
        </w:rPr>
        <w:t>8</w:t>
      </w:r>
      <w:bookmarkStart w:id="0" w:name="_GoBack"/>
      <w:bookmarkEnd w:id="0"/>
      <w:r w:rsidRPr="00C305BD">
        <w:rPr>
          <w:rFonts w:ascii="Times New Roman" w:hAnsi="Times New Roman"/>
          <w:b/>
          <w:bCs/>
          <w:sz w:val="24"/>
          <w:szCs w:val="24"/>
        </w:rPr>
        <w:t>.</w:t>
      </w:r>
      <w:r w:rsidRPr="00C305BD">
        <w:rPr>
          <w:rFonts w:ascii="Times New Roman" w:hAnsi="Times New Roman"/>
          <w:b/>
          <w:bCs/>
          <w:sz w:val="24"/>
          <w:szCs w:val="24"/>
        </w:rPr>
        <w:tab/>
      </w:r>
      <w:r w:rsidRPr="00C305BD">
        <w:rPr>
          <w:rFonts w:ascii="Times New Roman" w:eastAsia="Calibri" w:hAnsi="Times New Roman"/>
          <w:b/>
          <w:sz w:val="24"/>
          <w:szCs w:val="24"/>
        </w:rPr>
        <w:t>Medical / Potentially Infectious Waste Disposal:</w:t>
      </w: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Pick up containers (disposable or reusable) and red bags that are specifically designed for bio-medical waste are to be supplied by the Contractor.  Containers must meet all requirements and regulations of the Louisiana Department of Health (LDH), Louisiana Department of Environmental Quality (DEQ), and the Environmental Protection Agency (EPA) in reference to disposal of potentially infectious biomedical waste, and must be acceptable to the Infection Control Officer at the Agency.</w:t>
      </w:r>
    </w:p>
    <w:p w:rsidR="00C305BD" w:rsidRPr="00C305BD" w:rsidRDefault="00C305BD" w:rsidP="00C305BD">
      <w:pPr>
        <w:spacing w:after="0"/>
        <w:ind w:left="720"/>
        <w:contextualSpacing/>
        <w:rPr>
          <w:rFonts w:ascii="Times New Roman" w:eastAsia="Calibri" w:hAnsi="Times New Roman"/>
          <w:sz w:val="24"/>
          <w:szCs w:val="24"/>
        </w:rPr>
      </w:pP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 xml:space="preserve">All containers supplied must be appropriately labeled.  Labels must be water resistant, legible and readily visible.  If reusable containers are supplied, Contractor is responsible for cleaning containers prior to their return to the Agency for reuse.  </w:t>
      </w:r>
    </w:p>
    <w:p w:rsidR="00C305BD" w:rsidRPr="00C305BD" w:rsidRDefault="00C305BD" w:rsidP="00C305BD">
      <w:pPr>
        <w:ind w:left="720"/>
        <w:contextualSpacing/>
        <w:rPr>
          <w:rFonts w:ascii="Times New Roman" w:eastAsia="Calibri" w:hAnsi="Times New Roman"/>
          <w:sz w:val="24"/>
          <w:szCs w:val="24"/>
        </w:rPr>
      </w:pP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The Agency will package and secure the appropriate materials in the red bags, which will be placed in the containers.  The Contractor shall be responsible for picking up the containers of potentially infectious waste from the Agency’s storage site and loading the containers into their transportation vehicle.</w:t>
      </w:r>
    </w:p>
    <w:p w:rsidR="00C305BD" w:rsidRPr="00C305BD" w:rsidRDefault="00C305BD" w:rsidP="00C305BD">
      <w:pPr>
        <w:ind w:left="720"/>
        <w:contextualSpacing/>
        <w:rPr>
          <w:rFonts w:ascii="Times New Roman" w:eastAsia="Calibri" w:hAnsi="Times New Roman"/>
          <w:sz w:val="24"/>
          <w:szCs w:val="24"/>
        </w:rPr>
      </w:pPr>
    </w:p>
    <w:p w:rsidR="00C305BD" w:rsidRPr="00C305BD" w:rsidRDefault="00C305BD" w:rsidP="00C305BD">
      <w:pPr>
        <w:ind w:left="720"/>
        <w:contextualSpacing/>
        <w:rPr>
          <w:rFonts w:ascii="Times New Roman" w:eastAsia="Calibri" w:hAnsi="Times New Roman"/>
          <w:sz w:val="24"/>
          <w:szCs w:val="24"/>
        </w:rPr>
      </w:pPr>
      <w:r w:rsidRPr="00C305BD">
        <w:rPr>
          <w:rFonts w:ascii="Times New Roman" w:eastAsia="Calibri" w:hAnsi="Times New Roman"/>
          <w:sz w:val="24"/>
          <w:szCs w:val="24"/>
        </w:rPr>
        <w:t>The Contractor will assure liability of the transportation and disposal of the potentially infectious waste, with a manifest detailing date of pickup and date and manner of disposal.  The Contractor must secure permits and be in full compliance with LDH, DEQ, and EPA in order to transport and dispose of potentially infectious waste from the Agency.  The Agency must be furnished copies of the appropriate permits upon request.</w:t>
      </w:r>
    </w:p>
    <w:p w:rsidR="00C305BD" w:rsidRPr="003514A2" w:rsidRDefault="00C305BD" w:rsidP="00C305BD">
      <w:pPr>
        <w:widowControl/>
        <w:spacing w:after="0" w:line="240" w:lineRule="auto"/>
        <w:contextualSpacing/>
        <w:jc w:val="both"/>
        <w:rPr>
          <w:rFonts w:ascii="Times New Roman" w:hAnsi="Times New Roman" w:cs="Times New Roman"/>
          <w:bCs/>
          <w:sz w:val="24"/>
          <w:szCs w:val="24"/>
        </w:rPr>
      </w:pP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305BD"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C305BD">
        <w:rPr>
          <w:rFonts w:ascii="Times New Roman" w:hAnsi="Times New Roman" w:cs="Times New Roman"/>
          <w:sz w:val="24"/>
          <w:szCs w:val="24"/>
        </w:rPr>
        <w:t>e Procurement Analyst: Kafayat Alli-Balogun</w:t>
      </w:r>
      <w:r>
        <w:rPr>
          <w:rFonts w:ascii="Times New Roman" w:hAnsi="Times New Roman" w:cs="Times New Roman"/>
          <w:sz w:val="24"/>
          <w:szCs w:val="24"/>
        </w:rPr>
        <w:t>, phone: 225-</w:t>
      </w:r>
      <w:r w:rsidR="00C305BD">
        <w:rPr>
          <w:rFonts w:ascii="Times New Roman" w:hAnsi="Times New Roman" w:cs="Times New Roman"/>
          <w:sz w:val="24"/>
          <w:szCs w:val="24"/>
        </w:rPr>
        <w:t>342-5650</w:t>
      </w:r>
      <w:r>
        <w:rPr>
          <w:rFonts w:ascii="Times New Roman" w:hAnsi="Times New Roman" w:cs="Times New Roman"/>
          <w:sz w:val="24"/>
          <w:szCs w:val="24"/>
        </w:rPr>
        <w:t xml:space="preserve">, </w:t>
      </w:r>
    </w:p>
    <w:p w:rsidR="003514A2" w:rsidRDefault="00C305BD" w:rsidP="00C305BD">
      <w:pPr>
        <w:spacing w:line="240" w:lineRule="auto"/>
        <w:ind w:left="-144" w:firstLine="864"/>
        <w:jc w:val="both"/>
        <w:rPr>
          <w:rFonts w:ascii="Times New Roman" w:hAnsi="Times New Roman" w:cs="Times New Roman"/>
          <w:sz w:val="24"/>
          <w:szCs w:val="24"/>
        </w:rPr>
      </w:pPr>
      <w:r>
        <w:rPr>
          <w:rFonts w:ascii="Times New Roman" w:hAnsi="Times New Roman" w:cs="Times New Roman"/>
          <w:sz w:val="24"/>
          <w:szCs w:val="24"/>
        </w:rPr>
        <w:t>email:  kafayat.alli-balogun</w:t>
      </w:r>
      <w:r w:rsidR="003514A2">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BD" w:rsidRDefault="00C305BD">
      <w:pPr>
        <w:spacing w:after="0" w:line="240" w:lineRule="auto"/>
      </w:pPr>
      <w:r>
        <w:separator/>
      </w:r>
    </w:p>
  </w:endnote>
  <w:endnote w:type="continuationSeparator" w:id="0">
    <w:p w:rsidR="00C305BD" w:rsidRDefault="00C3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305BD">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305BD">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BD" w:rsidRDefault="00C305BD">
      <w:pPr>
        <w:spacing w:after="0" w:line="240" w:lineRule="auto"/>
      </w:pPr>
      <w:r>
        <w:separator/>
      </w:r>
    </w:p>
  </w:footnote>
  <w:footnote w:type="continuationSeparator" w:id="0">
    <w:p w:rsidR="00C305BD" w:rsidRDefault="00C3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305BD" w:rsidP="00C305BD">
    <w:pPr>
      <w:pStyle w:val="Header"/>
      <w:rPr>
        <w:rFonts w:ascii="Times New Roman" w:hAnsi="Times New Roman" w:cs="Times New Roman"/>
        <w:sz w:val="24"/>
        <w:szCs w:val="24"/>
      </w:rPr>
    </w:pPr>
    <w:r>
      <w:rPr>
        <w:rFonts w:ascii="Times New Roman" w:hAnsi="Times New Roman" w:cs="Times New Roman"/>
        <w:sz w:val="24"/>
        <w:szCs w:val="24"/>
      </w:rPr>
      <w:tab/>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Pr>
        <w:rFonts w:ascii="Times New Roman" w:hAnsi="Times New Roman" w:cs="Times New Roman"/>
        <w:sz w:val="24"/>
        <w:szCs w:val="24"/>
      </w:rPr>
      <w:t xml:space="preserve">3000024850              </w:t>
    </w:r>
    <w:r w:rsidR="00C53AC0" w:rsidRPr="001856F5">
      <w:rPr>
        <w:rFonts w:ascii="Times New Roman" w:hAnsi="Times New Roman" w:cs="Times New Roman"/>
        <w:sz w:val="24"/>
        <w:szCs w:val="24"/>
      </w:rPr>
      <w:t>Title</w:t>
    </w:r>
    <w:r w:rsidR="000644DE">
      <w:rPr>
        <w:rFonts w:ascii="Times New Roman" w:hAnsi="Times New Roman" w:cs="Times New Roman"/>
        <w:sz w:val="24"/>
        <w:szCs w:val="24"/>
      </w:rPr>
      <w:t>:</w:t>
    </w:r>
    <w:r>
      <w:rPr>
        <w:rFonts w:ascii="Times New Roman" w:hAnsi="Times New Roman" w:cs="Times New Roman"/>
        <w:sz w:val="24"/>
        <w:szCs w:val="24"/>
      </w:rPr>
      <w:t xml:space="preserve"> *Fax Bid* Medical Waste Removal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BD"/>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05BD"/>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9EC18131-0A7D-4B2E-9867-3D108283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C30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4531%20-%20Medical%20Waste%20Removal%20-DOC\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47EA-2DF3-44AC-B533-BC369E4F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6</TotalTime>
  <Pages>8</Pages>
  <Words>3086</Words>
  <Characters>17600</Characters>
  <Application>Microsoft Office Word</Application>
  <DocSecurity>0</DocSecurity>
  <Lines>352</Lines>
  <Paragraphs>155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cp:revision>
  <cp:lastPrinted>2022-08-17T21:16:00Z</cp:lastPrinted>
  <dcterms:created xsi:type="dcterms:W3CDTF">2025-05-22T14:11:00Z</dcterms:created>
  <dcterms:modified xsi:type="dcterms:W3CDTF">2025-05-22T14:18:00Z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b3dc6295-d10e-4891-b587-ba6a133eb319</vt:lpwstr>
  </property>
</Properties>
</file>