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3974A8">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3974A8">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D0443C">
      <w:pPr>
        <w:spacing w:after="0"/>
        <w:rPr>
          <w:rFonts w:ascii="Times New Roman" w:hAnsi="Times New Roman" w:cs="Times New Roman"/>
          <w:bCs/>
          <w:sz w:val="24"/>
          <w:szCs w:val="24"/>
        </w:rPr>
      </w:pPr>
    </w:p>
    <w:p w:rsidR="00BC7B74" w:rsidRDefault="0097634E" w:rsidP="00D0443C">
      <w:pPr>
        <w:spacing w:after="0"/>
        <w:rPr>
          <w:rFonts w:ascii="Times New Roman" w:hAnsi="Times New Roman" w:cs="Times New Roman"/>
          <w:b/>
          <w:bCs/>
          <w:sz w:val="24"/>
          <w:szCs w:val="24"/>
        </w:rPr>
      </w:pPr>
      <w:r w:rsidRPr="0097634E">
        <w:rPr>
          <w:rFonts w:ascii="Times New Roman" w:hAnsi="Times New Roman" w:cs="Times New Roman"/>
          <w:b/>
          <w:bCs/>
          <w:sz w:val="24"/>
          <w:szCs w:val="24"/>
        </w:rPr>
        <w:t>17.</w:t>
      </w:r>
      <w:r>
        <w:rPr>
          <w:rFonts w:ascii="Times New Roman" w:hAnsi="Times New Roman" w:cs="Times New Roman"/>
          <w:b/>
          <w:bCs/>
          <w:sz w:val="24"/>
          <w:szCs w:val="24"/>
        </w:rPr>
        <w:tab/>
        <w:t>Blanket Fidelity Bond Coverage</w:t>
      </w:r>
    </w:p>
    <w:p w:rsidR="0097634E" w:rsidRPr="0097634E" w:rsidRDefault="0097634E" w:rsidP="0097634E">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contact. A blanket crime insurance policy, with a minimum of $100,000 per occurrence for employee </w:t>
      </w:r>
      <w:r>
        <w:rPr>
          <w:rFonts w:ascii="Times New Roman" w:hAnsi="Times New Roman" w:cs="Times New Roman"/>
          <w:bCs/>
          <w:sz w:val="24"/>
          <w:szCs w:val="24"/>
        </w:rPr>
        <w:lastRenderedPageBreak/>
        <w:t>theft and endorsed to include the State of Louisiana as a named insur</w:t>
      </w:r>
      <w:bookmarkStart w:id="0" w:name="_GoBack"/>
      <w:bookmarkEnd w:id="0"/>
      <w:r>
        <w:rPr>
          <w:rFonts w:ascii="Times New Roman" w:hAnsi="Times New Roman" w:cs="Times New Roman"/>
          <w:bCs/>
          <w:sz w:val="24"/>
          <w:szCs w:val="24"/>
        </w:rPr>
        <w:t>ed, is acceptable in lieu of the fidelity bond coverage.</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878DC">
        <w:rPr>
          <w:rFonts w:ascii="Times New Roman" w:hAnsi="Times New Roman" w:cs="Times New Roman"/>
          <w:sz w:val="24"/>
          <w:szCs w:val="24"/>
        </w:rPr>
        <w:t>Clarett Blount</w:t>
      </w:r>
      <w:r>
        <w:rPr>
          <w:rFonts w:ascii="Times New Roman" w:hAnsi="Times New Roman" w:cs="Times New Roman"/>
          <w:sz w:val="24"/>
          <w:szCs w:val="24"/>
        </w:rPr>
        <w:t>, phone: 225-342-</w:t>
      </w:r>
      <w:r w:rsidR="006878DC">
        <w:rPr>
          <w:rFonts w:ascii="Times New Roman" w:hAnsi="Times New Roman" w:cs="Times New Roman"/>
          <w:sz w:val="24"/>
          <w:szCs w:val="24"/>
        </w:rPr>
        <w:t>8044</w:t>
      </w:r>
      <w:r>
        <w:rPr>
          <w:rFonts w:ascii="Times New Roman" w:hAnsi="Times New Roman" w:cs="Times New Roman"/>
          <w:sz w:val="24"/>
          <w:szCs w:val="24"/>
        </w:rPr>
        <w:t xml:space="preserve">, email:  </w:t>
      </w:r>
      <w:r w:rsidR="006878DC">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B4" w:rsidRDefault="00E138B4">
      <w:pPr>
        <w:spacing w:after="0" w:line="240" w:lineRule="auto"/>
      </w:pPr>
      <w:r>
        <w:separator/>
      </w:r>
    </w:p>
  </w:endnote>
  <w:endnote w:type="continuationSeparator" w:id="0">
    <w:p w:rsidR="00E138B4" w:rsidRDefault="00E1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7634E">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7634E">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B4" w:rsidRDefault="00E138B4">
      <w:pPr>
        <w:spacing w:after="0" w:line="240" w:lineRule="auto"/>
      </w:pPr>
      <w:r>
        <w:separator/>
      </w:r>
    </w:p>
  </w:footnote>
  <w:footnote w:type="continuationSeparator" w:id="0">
    <w:p w:rsidR="00E138B4" w:rsidRDefault="00E1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01FA"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 xml:space="preserve"> 3000024825</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Pr>
        <w:rFonts w:ascii="Times New Roman" w:hAnsi="Times New Roman" w:cs="Times New Roman"/>
        <w:sz w:val="24"/>
        <w:szCs w:val="24"/>
      </w:rPr>
      <w:t xml:space="preserve"> Armed Security Guard Services - DCFS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B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974A8"/>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878DC"/>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7634E"/>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C7B74"/>
    <w:rsid w:val="00BD606A"/>
    <w:rsid w:val="00C06802"/>
    <w:rsid w:val="00C10B40"/>
    <w:rsid w:val="00C116B5"/>
    <w:rsid w:val="00C243E5"/>
    <w:rsid w:val="00C25406"/>
    <w:rsid w:val="00C32FFB"/>
    <w:rsid w:val="00C33CF6"/>
    <w:rsid w:val="00C3774E"/>
    <w:rsid w:val="00C37BC0"/>
    <w:rsid w:val="00C41F6E"/>
    <w:rsid w:val="00C501FA"/>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138B4"/>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A13228"/>
  <w15:chartTrackingRefBased/>
  <w15:docId w15:val="{00786F6C-65CC-4870-8773-624972D8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10D9-1068-45D5-87DC-C9FB7494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22</TotalTime>
  <Pages>8</Pages>
  <Words>2831</Words>
  <Characters>16102</Characters>
  <Application>Microsoft Office Word</Application>
  <DocSecurity>0</DocSecurity>
  <Lines>435</Lines>
  <Paragraphs>156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5</cp:revision>
  <cp:lastPrinted>2025-05-22T13:35:00Z</cp:lastPrinted>
  <dcterms:created xsi:type="dcterms:W3CDTF">2025-05-15T20:58:00Z</dcterms:created>
  <dcterms:modified xsi:type="dcterms:W3CDTF">2025-05-23T19:35:00Z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f0973cb5-63cf-480a-b68b-410900706156</vt:lpwstr>
  </property>
</Properties>
</file>