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170121</wp:posOffset>
            </wp:positionH>
            <wp:positionV relativeFrom="page">
              <wp:posOffset>254857</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DB0BF9">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DB0BF9">
        <w:rPr>
          <w:rFonts w:ascii="Times New Roman" w:hAnsi="Times New Roman" w:cs="Times New Roman"/>
          <w:sz w:val="24"/>
          <w:szCs w:val="24"/>
        </w:rPr>
        <w:t xml:space="preserve">  </w:t>
      </w:r>
      <w:r w:rsidR="00DB0BF9">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B0BF9"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In addition to the certificates, Contractor shall submit the declarations page and the cancellation provision for each insurance policy.  The Agency reserves the right to request complete </w:t>
      </w:r>
      <w:r w:rsidRPr="00DB0BF9">
        <w:rPr>
          <w:rFonts w:ascii="Times New Roman" w:eastAsia="PMingLiU" w:hAnsi="Times New Roman" w:cs="Times New Roman"/>
          <w:sz w:val="24"/>
          <w:szCs w:val="24"/>
          <w:lang w:eastAsia="zh-TW"/>
        </w:rPr>
        <w:t>certified copies of all required insurance policies at any time.</w:t>
      </w:r>
    </w:p>
    <w:p w:rsidR="00FB64C9" w:rsidRPr="00DB0BF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B0BF9"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B0BF9">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DB0BF9"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DB0BF9"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B0BF9">
        <w:rPr>
          <w:rFonts w:ascii="Times New Roman" w:eastAsia="PMingLiU" w:hAnsi="Times New Roman" w:cs="Times New Roman"/>
          <w:sz w:val="24"/>
          <w:szCs w:val="24"/>
          <w:lang w:eastAsia="zh-TW"/>
        </w:rPr>
        <w:lastRenderedPageBreak/>
        <w:tab/>
      </w:r>
      <w:r w:rsidRPr="00DB0BF9">
        <w:rPr>
          <w:rFonts w:ascii="Times New Roman" w:eastAsia="PMingLiU" w:hAnsi="Times New Roman" w:cs="Times New Roman"/>
          <w:sz w:val="24"/>
          <w:szCs w:val="24"/>
          <w:lang w:eastAsia="zh-TW"/>
        </w:rPr>
        <w:tab/>
        <w:t>F.</w:t>
      </w:r>
      <w:r w:rsidRPr="00DB0BF9">
        <w:rPr>
          <w:rFonts w:ascii="Times New Roman" w:eastAsia="PMingLiU" w:hAnsi="Times New Roman" w:cs="Times New Roman"/>
          <w:sz w:val="24"/>
          <w:szCs w:val="24"/>
          <w:lang w:eastAsia="zh-TW"/>
        </w:rPr>
        <w:tab/>
      </w:r>
      <w:r w:rsidRPr="00DB0BF9">
        <w:rPr>
          <w:rFonts w:ascii="Times New Roman" w:eastAsia="PMingLiU" w:hAnsi="Times New Roman" w:cs="Times New Roman"/>
          <w:sz w:val="24"/>
          <w:szCs w:val="24"/>
          <w:u w:val="single"/>
          <w:lang w:eastAsia="zh-TW"/>
        </w:rPr>
        <w:t>Subcontractors</w:t>
      </w:r>
    </w:p>
    <w:p w:rsidR="00FB64C9" w:rsidRPr="00DB0BF9"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B0BF9">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DB0BF9"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B0BF9"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B0BF9">
        <w:rPr>
          <w:rFonts w:ascii="Times New Roman" w:eastAsia="PMingLiU" w:hAnsi="Times New Roman" w:cs="Times New Roman"/>
          <w:sz w:val="24"/>
          <w:szCs w:val="24"/>
          <w:lang w:eastAsia="zh-TW"/>
        </w:rPr>
        <w:tab/>
      </w:r>
      <w:r w:rsidRPr="00DB0BF9">
        <w:rPr>
          <w:rFonts w:ascii="Times New Roman" w:eastAsia="PMingLiU" w:hAnsi="Times New Roman" w:cs="Times New Roman"/>
          <w:sz w:val="24"/>
          <w:szCs w:val="24"/>
          <w:lang w:eastAsia="zh-TW"/>
        </w:rPr>
        <w:tab/>
        <w:t>G.</w:t>
      </w:r>
      <w:r w:rsidRPr="00DB0BF9">
        <w:rPr>
          <w:rFonts w:ascii="Times New Roman" w:eastAsia="PMingLiU" w:hAnsi="Times New Roman" w:cs="Times New Roman"/>
          <w:sz w:val="24"/>
          <w:szCs w:val="24"/>
          <w:lang w:eastAsia="zh-TW"/>
        </w:rPr>
        <w:tab/>
      </w:r>
      <w:r w:rsidRPr="00DB0BF9">
        <w:rPr>
          <w:rFonts w:ascii="Times New Roman" w:eastAsia="PMingLiU" w:hAnsi="Times New Roman" w:cs="Times New Roman"/>
          <w:sz w:val="24"/>
          <w:szCs w:val="24"/>
          <w:u w:val="single"/>
          <w:lang w:eastAsia="zh-TW"/>
        </w:rPr>
        <w:t>Workers Compensation Indemnity</w:t>
      </w:r>
    </w:p>
    <w:p w:rsidR="00FB64C9" w:rsidRPr="00DB0BF9"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DB0BF9">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DB0BF9"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DB0BF9"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DB0BF9">
        <w:rPr>
          <w:rFonts w:ascii="Times New Roman" w:eastAsia="PMingLiU" w:hAnsi="Times New Roman" w:cs="Times New Roman"/>
          <w:sz w:val="24"/>
          <w:szCs w:val="24"/>
          <w:lang w:eastAsia="zh-TW"/>
        </w:rPr>
        <w:tab/>
      </w:r>
      <w:r w:rsidRPr="00DB0BF9">
        <w:rPr>
          <w:rFonts w:ascii="Times New Roman" w:eastAsia="PMingLiU" w:hAnsi="Times New Roman" w:cs="Times New Roman"/>
          <w:sz w:val="24"/>
          <w:szCs w:val="24"/>
          <w:lang w:eastAsia="zh-TW"/>
        </w:rPr>
        <w:tab/>
        <w:t>H.</w:t>
      </w:r>
      <w:r w:rsidRPr="00DB0BF9">
        <w:rPr>
          <w:rFonts w:ascii="Times New Roman" w:eastAsia="PMingLiU" w:hAnsi="Times New Roman" w:cs="Times New Roman"/>
          <w:sz w:val="24"/>
          <w:szCs w:val="24"/>
          <w:lang w:eastAsia="zh-TW"/>
        </w:rPr>
        <w:tab/>
      </w:r>
      <w:r w:rsidRPr="00DB0BF9">
        <w:rPr>
          <w:rFonts w:ascii="Times New Roman" w:eastAsia="PMingLiU" w:hAnsi="Times New Roman" w:cs="Times New Roman"/>
          <w:sz w:val="24"/>
          <w:szCs w:val="24"/>
          <w:u w:val="single"/>
          <w:lang w:eastAsia="zh-TW"/>
        </w:rPr>
        <w:t>Indemnification/Hold Harmless Agreement</w:t>
      </w:r>
    </w:p>
    <w:p w:rsidR="00FB64C9" w:rsidRPr="00DB0BF9"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DB0BF9"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DB0BF9">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DB0BF9"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Pr="00DB0BF9"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DB0BF9">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B0BF9" w:rsidRDefault="009A7362" w:rsidP="00D0443C">
      <w:pPr>
        <w:spacing w:after="0"/>
        <w:rPr>
          <w:rFonts w:ascii="Times New Roman" w:hAnsi="Times New Roman" w:cs="Times New Roman"/>
          <w:bCs/>
          <w:sz w:val="24"/>
          <w:szCs w:val="24"/>
        </w:rPr>
      </w:pPr>
    </w:p>
    <w:p w:rsidR="00DB0BF9" w:rsidRPr="00DB0BF9" w:rsidRDefault="00DB0BF9" w:rsidP="00DB0BF9">
      <w:pPr>
        <w:contextualSpacing/>
        <w:rPr>
          <w:rFonts w:ascii="Times New Roman" w:hAnsi="Times New Roman"/>
          <w:b/>
          <w:sz w:val="24"/>
          <w:szCs w:val="24"/>
        </w:rPr>
      </w:pPr>
      <w:r w:rsidRPr="00DB0BF9">
        <w:rPr>
          <w:rFonts w:ascii="Times New Roman" w:hAnsi="Times New Roman"/>
          <w:b/>
          <w:bCs/>
          <w:sz w:val="24"/>
          <w:szCs w:val="24"/>
        </w:rPr>
        <w:t>1</w:t>
      </w:r>
      <w:r w:rsidRPr="00DB0BF9">
        <w:rPr>
          <w:rFonts w:ascii="Times New Roman" w:hAnsi="Times New Roman"/>
          <w:b/>
          <w:bCs/>
          <w:sz w:val="24"/>
          <w:szCs w:val="24"/>
        </w:rPr>
        <w:t>7</w:t>
      </w:r>
      <w:r w:rsidRPr="00DB0BF9">
        <w:rPr>
          <w:rFonts w:ascii="Times New Roman" w:hAnsi="Times New Roman"/>
          <w:b/>
          <w:bCs/>
          <w:sz w:val="24"/>
          <w:szCs w:val="24"/>
        </w:rPr>
        <w:t>.</w:t>
      </w:r>
      <w:r w:rsidRPr="00DB0BF9">
        <w:rPr>
          <w:rFonts w:ascii="Times New Roman" w:hAnsi="Times New Roman"/>
          <w:b/>
          <w:bCs/>
          <w:sz w:val="24"/>
          <w:szCs w:val="24"/>
        </w:rPr>
        <w:tab/>
      </w:r>
      <w:r w:rsidRPr="00DB0BF9">
        <w:rPr>
          <w:rFonts w:ascii="Times New Roman" w:hAnsi="Times New Roman"/>
          <w:b/>
          <w:sz w:val="24"/>
          <w:szCs w:val="24"/>
        </w:rPr>
        <w:t>New FY Delivery:</w:t>
      </w:r>
    </w:p>
    <w:p w:rsidR="00DB0BF9" w:rsidRPr="00DB0BF9" w:rsidRDefault="00DB0BF9" w:rsidP="00DB0BF9">
      <w:pPr>
        <w:ind w:left="720"/>
        <w:contextualSpacing/>
        <w:rPr>
          <w:rFonts w:ascii="Times New Roman" w:hAnsi="Times New Roman"/>
          <w:sz w:val="24"/>
          <w:szCs w:val="24"/>
        </w:rPr>
      </w:pPr>
      <w:r w:rsidRPr="00DB0BF9">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DB0BF9" w:rsidRPr="00DB0BF9" w:rsidRDefault="00DB0BF9" w:rsidP="00D0443C">
      <w:pPr>
        <w:spacing w:after="0"/>
        <w:rPr>
          <w:rFonts w:ascii="Times New Roman" w:hAnsi="Times New Roman" w:cs="Times New Roman"/>
          <w:bCs/>
          <w:sz w:val="24"/>
          <w:szCs w:val="24"/>
        </w:rPr>
      </w:pPr>
    </w:p>
    <w:p w:rsidR="00DB0BF9" w:rsidRPr="00DB0BF9" w:rsidRDefault="00DB0BF9" w:rsidP="00DB0BF9">
      <w:pPr>
        <w:spacing w:after="0"/>
        <w:rPr>
          <w:rFonts w:ascii="Times New Roman" w:hAnsi="Times New Roman"/>
          <w:b/>
          <w:sz w:val="24"/>
          <w:szCs w:val="24"/>
        </w:rPr>
      </w:pPr>
      <w:r w:rsidRPr="00DB0BF9">
        <w:rPr>
          <w:rFonts w:ascii="Times New Roman" w:hAnsi="Times New Roman"/>
          <w:b/>
          <w:bCs/>
          <w:sz w:val="24"/>
          <w:szCs w:val="24"/>
        </w:rPr>
        <w:lastRenderedPageBreak/>
        <w:t>1</w:t>
      </w:r>
      <w:r w:rsidRPr="00DB0BF9">
        <w:rPr>
          <w:rFonts w:ascii="Times New Roman" w:hAnsi="Times New Roman"/>
          <w:b/>
          <w:bCs/>
          <w:sz w:val="24"/>
          <w:szCs w:val="24"/>
        </w:rPr>
        <w:t>8</w:t>
      </w:r>
      <w:r w:rsidRPr="00DB0BF9">
        <w:rPr>
          <w:rFonts w:ascii="Times New Roman" w:hAnsi="Times New Roman"/>
          <w:b/>
          <w:bCs/>
          <w:sz w:val="24"/>
          <w:szCs w:val="24"/>
        </w:rPr>
        <w:t>.</w:t>
      </w:r>
      <w:r w:rsidRPr="00DB0BF9">
        <w:rPr>
          <w:rFonts w:ascii="Times New Roman" w:hAnsi="Times New Roman"/>
          <w:b/>
          <w:bCs/>
          <w:sz w:val="24"/>
          <w:szCs w:val="24"/>
        </w:rPr>
        <w:tab/>
      </w:r>
      <w:r w:rsidRPr="00DB0BF9">
        <w:rPr>
          <w:rFonts w:ascii="Times New Roman" w:hAnsi="Times New Roman"/>
          <w:b/>
          <w:sz w:val="24"/>
          <w:szCs w:val="24"/>
        </w:rPr>
        <w:t>Mandatory Jobsite Visit:</w:t>
      </w:r>
    </w:p>
    <w:p w:rsidR="00DB0BF9" w:rsidRPr="00DB0BF9" w:rsidRDefault="00DB0BF9" w:rsidP="00DB0BF9">
      <w:pPr>
        <w:spacing w:after="0"/>
        <w:ind w:left="720"/>
        <w:rPr>
          <w:rFonts w:ascii="Times New Roman" w:hAnsi="Times New Roman"/>
          <w:sz w:val="24"/>
          <w:szCs w:val="24"/>
        </w:rPr>
      </w:pPr>
      <w:r w:rsidRPr="00DB0BF9">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DB0BF9" w:rsidRPr="00DB0BF9" w:rsidRDefault="00DB0BF9" w:rsidP="00DB0BF9">
      <w:pPr>
        <w:spacing w:after="0"/>
        <w:rPr>
          <w:rFonts w:ascii="Times New Roman" w:hAnsi="Times New Roman"/>
          <w:sz w:val="24"/>
          <w:szCs w:val="24"/>
        </w:rPr>
      </w:pPr>
    </w:p>
    <w:p w:rsidR="00DB0BF9" w:rsidRPr="00DB0BF9" w:rsidRDefault="00DB0BF9" w:rsidP="00DB0BF9">
      <w:pPr>
        <w:spacing w:after="0"/>
        <w:ind w:firstLine="720"/>
        <w:rPr>
          <w:rFonts w:ascii="Times New Roman" w:hAnsi="Times New Roman"/>
          <w:sz w:val="24"/>
          <w:szCs w:val="24"/>
        </w:rPr>
      </w:pPr>
      <w:r w:rsidRPr="00DB0BF9">
        <w:rPr>
          <w:rFonts w:ascii="Times New Roman" w:hAnsi="Times New Roman"/>
          <w:sz w:val="24"/>
          <w:szCs w:val="24"/>
        </w:rPr>
        <w:t xml:space="preserve">Vendor may contact </w:t>
      </w:r>
      <w:r>
        <w:rPr>
          <w:rFonts w:ascii="Times New Roman" w:hAnsi="Times New Roman"/>
          <w:sz w:val="24"/>
          <w:szCs w:val="24"/>
        </w:rPr>
        <w:t xml:space="preserve">James Bunch at 225-922-2047 or </w:t>
      </w:r>
      <w:hyperlink r:id="rId11" w:history="1">
        <w:r w:rsidRPr="005A2721">
          <w:rPr>
            <w:rStyle w:val="Hyperlink"/>
            <w:rFonts w:ascii="Times New Roman" w:hAnsi="Times New Roman"/>
            <w:sz w:val="24"/>
            <w:szCs w:val="24"/>
          </w:rPr>
          <w:t>James.Bunch@sos.la.gov</w:t>
        </w:r>
      </w:hyperlink>
      <w:r>
        <w:rPr>
          <w:rFonts w:ascii="Times New Roman" w:hAnsi="Times New Roman"/>
          <w:sz w:val="24"/>
          <w:szCs w:val="24"/>
        </w:rPr>
        <w:t xml:space="preserve"> </w:t>
      </w:r>
      <w:r w:rsidRPr="00DB0BF9">
        <w:rPr>
          <w:rFonts w:ascii="Times New Roman" w:hAnsi="Times New Roman"/>
          <w:sz w:val="24"/>
          <w:szCs w:val="24"/>
        </w:rPr>
        <w:t xml:space="preserve">to schedule a jobsite </w:t>
      </w:r>
      <w:r>
        <w:rPr>
          <w:rFonts w:ascii="Times New Roman" w:hAnsi="Times New Roman"/>
          <w:sz w:val="24"/>
          <w:szCs w:val="24"/>
        </w:rPr>
        <w:tab/>
      </w:r>
      <w:r w:rsidRPr="00DB0BF9">
        <w:rPr>
          <w:rFonts w:ascii="Times New Roman" w:hAnsi="Times New Roman"/>
          <w:sz w:val="24"/>
          <w:szCs w:val="24"/>
        </w:rPr>
        <w:t>visit.</w:t>
      </w:r>
    </w:p>
    <w:p w:rsidR="00DB0BF9" w:rsidRPr="00DB0BF9" w:rsidRDefault="00DB0BF9" w:rsidP="00DB0BF9">
      <w:pPr>
        <w:spacing w:after="0"/>
        <w:rPr>
          <w:rFonts w:ascii="Times New Roman" w:hAnsi="Times New Roman"/>
          <w:sz w:val="24"/>
          <w:szCs w:val="24"/>
        </w:rPr>
      </w:pPr>
    </w:p>
    <w:p w:rsidR="00DB0BF9" w:rsidRPr="00DB0BF9" w:rsidRDefault="00DB0BF9" w:rsidP="00DB0BF9">
      <w:pPr>
        <w:ind w:firstLine="720"/>
        <w:rPr>
          <w:rFonts w:ascii="Times New Roman" w:hAnsi="Times New Roman"/>
          <w:b/>
          <w:sz w:val="24"/>
          <w:szCs w:val="24"/>
        </w:rPr>
      </w:pPr>
      <w:r w:rsidRPr="00DB0BF9">
        <w:rPr>
          <w:rFonts w:ascii="Times New Roman" w:hAnsi="Times New Roman"/>
          <w:b/>
          <w:sz w:val="24"/>
          <w:szCs w:val="24"/>
        </w:rPr>
        <w:t>Jobsite Visit is mandatory.  Failure to comply will eliminate your bid from award consideration.</w:t>
      </w:r>
    </w:p>
    <w:p w:rsidR="00DB0BF9" w:rsidRPr="00DB0BF9" w:rsidRDefault="00DB0BF9" w:rsidP="00DB0BF9">
      <w:pPr>
        <w:ind w:left="720"/>
        <w:rPr>
          <w:rFonts w:ascii="Times New Roman" w:hAnsi="Times New Roman"/>
          <w:sz w:val="24"/>
          <w:szCs w:val="24"/>
        </w:rPr>
      </w:pPr>
      <w:r w:rsidRPr="00DB0BF9">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DB0BF9" w:rsidRPr="00DB0BF9" w:rsidRDefault="00DB0BF9" w:rsidP="00DB0BF9">
      <w:pPr>
        <w:spacing w:after="0"/>
        <w:ind w:firstLine="720"/>
        <w:rPr>
          <w:rFonts w:ascii="Times New Roman" w:hAnsi="Times New Roman"/>
          <w:sz w:val="24"/>
          <w:szCs w:val="24"/>
        </w:rPr>
      </w:pPr>
      <w:r w:rsidRPr="00DB0BF9">
        <w:rPr>
          <w:rFonts w:ascii="Times New Roman" w:hAnsi="Times New Roman"/>
          <w:sz w:val="24"/>
          <w:szCs w:val="24"/>
        </w:rPr>
        <w:t>_________________</w:t>
      </w:r>
      <w:bookmarkStart w:id="0" w:name="_GoBack"/>
      <w:bookmarkEnd w:id="0"/>
      <w:r w:rsidRPr="00DB0BF9">
        <w:rPr>
          <w:rFonts w:ascii="Times New Roman" w:hAnsi="Times New Roman"/>
          <w:sz w:val="24"/>
          <w:szCs w:val="24"/>
        </w:rPr>
        <w:t>___________________</w:t>
      </w:r>
      <w:r w:rsidRPr="00DB0BF9">
        <w:rPr>
          <w:rFonts w:ascii="Times New Roman" w:hAnsi="Times New Roman"/>
          <w:sz w:val="24"/>
          <w:szCs w:val="24"/>
        </w:rPr>
        <w:tab/>
        <w:t>____________________________________</w:t>
      </w:r>
    </w:p>
    <w:p w:rsidR="00DB0BF9" w:rsidRPr="00DB0BF9" w:rsidRDefault="00DB0BF9" w:rsidP="00DB0BF9">
      <w:pPr>
        <w:ind w:firstLine="720"/>
        <w:rPr>
          <w:rFonts w:ascii="Times New Roman" w:hAnsi="Times New Roman"/>
          <w:sz w:val="24"/>
          <w:szCs w:val="24"/>
        </w:rPr>
      </w:pPr>
      <w:r w:rsidRPr="00DB0BF9">
        <w:rPr>
          <w:rFonts w:ascii="Times New Roman" w:hAnsi="Times New Roman"/>
          <w:sz w:val="24"/>
          <w:szCs w:val="24"/>
        </w:rPr>
        <w:t>Vendor’s Company Name</w:t>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t>State Agency’s Name</w:t>
      </w:r>
    </w:p>
    <w:p w:rsidR="00DB0BF9" w:rsidRPr="00DB0BF9" w:rsidRDefault="00DB0BF9" w:rsidP="00DB0BF9">
      <w:pPr>
        <w:spacing w:after="0"/>
        <w:ind w:firstLine="720"/>
        <w:rPr>
          <w:rFonts w:ascii="Times New Roman" w:hAnsi="Times New Roman"/>
          <w:sz w:val="24"/>
          <w:szCs w:val="24"/>
        </w:rPr>
      </w:pPr>
      <w:r w:rsidRPr="00DB0BF9">
        <w:rPr>
          <w:rFonts w:ascii="Times New Roman" w:hAnsi="Times New Roman"/>
          <w:sz w:val="24"/>
          <w:szCs w:val="24"/>
        </w:rPr>
        <w:t>____________________________________</w:t>
      </w:r>
      <w:r w:rsidRPr="00DB0BF9">
        <w:rPr>
          <w:rFonts w:ascii="Times New Roman" w:hAnsi="Times New Roman"/>
          <w:sz w:val="24"/>
          <w:szCs w:val="24"/>
        </w:rPr>
        <w:tab/>
        <w:t>____________________________________</w:t>
      </w:r>
    </w:p>
    <w:p w:rsidR="00DB0BF9" w:rsidRPr="00DB0BF9" w:rsidRDefault="00DB0BF9" w:rsidP="00DB0BF9">
      <w:pPr>
        <w:spacing w:after="0"/>
        <w:ind w:firstLine="720"/>
        <w:rPr>
          <w:rFonts w:ascii="Times New Roman" w:hAnsi="Times New Roman"/>
          <w:sz w:val="24"/>
          <w:szCs w:val="24"/>
        </w:rPr>
      </w:pPr>
      <w:r w:rsidRPr="00DB0BF9">
        <w:rPr>
          <w:rFonts w:ascii="Times New Roman" w:hAnsi="Times New Roman"/>
          <w:sz w:val="24"/>
          <w:szCs w:val="24"/>
        </w:rPr>
        <w:t>Vendor Rep’s Name (printed)</w:t>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t>Agency Rep’s Name (printed)</w:t>
      </w:r>
    </w:p>
    <w:p w:rsidR="00DB0BF9" w:rsidRPr="00DB0BF9" w:rsidRDefault="00DB0BF9" w:rsidP="00DB0BF9">
      <w:pPr>
        <w:spacing w:after="0"/>
        <w:rPr>
          <w:rFonts w:ascii="Times New Roman" w:hAnsi="Times New Roman"/>
          <w:sz w:val="24"/>
          <w:szCs w:val="24"/>
        </w:rPr>
      </w:pPr>
    </w:p>
    <w:p w:rsidR="00DB0BF9" w:rsidRPr="00DB0BF9" w:rsidRDefault="00DB0BF9" w:rsidP="00DB0BF9">
      <w:pPr>
        <w:spacing w:after="0"/>
        <w:ind w:firstLine="720"/>
        <w:rPr>
          <w:rFonts w:ascii="Times New Roman" w:hAnsi="Times New Roman"/>
          <w:sz w:val="24"/>
          <w:szCs w:val="24"/>
        </w:rPr>
      </w:pPr>
      <w:r w:rsidRPr="00DB0BF9">
        <w:rPr>
          <w:rFonts w:ascii="Times New Roman" w:hAnsi="Times New Roman"/>
          <w:sz w:val="24"/>
          <w:szCs w:val="24"/>
        </w:rPr>
        <w:t>____________________________________</w:t>
      </w:r>
      <w:r w:rsidRPr="00DB0BF9">
        <w:rPr>
          <w:rFonts w:ascii="Times New Roman" w:hAnsi="Times New Roman"/>
          <w:sz w:val="24"/>
          <w:szCs w:val="24"/>
        </w:rPr>
        <w:tab/>
        <w:t>____________________________________</w:t>
      </w:r>
    </w:p>
    <w:p w:rsidR="00DB0BF9" w:rsidRPr="00DB0BF9" w:rsidRDefault="00DB0BF9" w:rsidP="00DB0BF9">
      <w:pPr>
        <w:spacing w:after="0"/>
        <w:ind w:firstLine="720"/>
        <w:rPr>
          <w:rFonts w:ascii="Times New Roman" w:hAnsi="Times New Roman"/>
          <w:sz w:val="24"/>
          <w:szCs w:val="24"/>
        </w:rPr>
      </w:pPr>
      <w:r w:rsidRPr="00DB0BF9">
        <w:rPr>
          <w:rFonts w:ascii="Times New Roman" w:hAnsi="Times New Roman"/>
          <w:sz w:val="24"/>
          <w:szCs w:val="24"/>
        </w:rPr>
        <w:t>Vendor’s Signature</w:t>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t>Agency’s Signature</w:t>
      </w:r>
    </w:p>
    <w:p w:rsidR="00DB0BF9" w:rsidRPr="00DB0BF9" w:rsidRDefault="00DB0BF9" w:rsidP="00DB0BF9">
      <w:pPr>
        <w:spacing w:after="0"/>
        <w:rPr>
          <w:rFonts w:ascii="Times New Roman" w:hAnsi="Times New Roman"/>
          <w:sz w:val="24"/>
          <w:szCs w:val="24"/>
        </w:rPr>
      </w:pPr>
    </w:p>
    <w:p w:rsidR="00DB0BF9" w:rsidRPr="00DB0BF9" w:rsidRDefault="00DB0BF9" w:rsidP="00DB0BF9">
      <w:pPr>
        <w:spacing w:after="0"/>
        <w:ind w:firstLine="720"/>
        <w:rPr>
          <w:rFonts w:ascii="Times New Roman" w:hAnsi="Times New Roman"/>
          <w:sz w:val="24"/>
          <w:szCs w:val="24"/>
        </w:rPr>
      </w:pPr>
      <w:r w:rsidRPr="00DB0BF9">
        <w:rPr>
          <w:rFonts w:ascii="Times New Roman" w:hAnsi="Times New Roman"/>
          <w:sz w:val="24"/>
          <w:szCs w:val="24"/>
        </w:rPr>
        <w:t>____________________________________</w:t>
      </w:r>
      <w:r w:rsidRPr="00DB0BF9">
        <w:rPr>
          <w:rFonts w:ascii="Times New Roman" w:hAnsi="Times New Roman"/>
          <w:sz w:val="24"/>
          <w:szCs w:val="24"/>
        </w:rPr>
        <w:tab/>
        <w:t>____________________________________</w:t>
      </w:r>
    </w:p>
    <w:p w:rsidR="00DB0BF9" w:rsidRPr="00DB0BF9" w:rsidRDefault="00DB0BF9" w:rsidP="00DB0BF9">
      <w:pPr>
        <w:spacing w:after="0"/>
        <w:ind w:firstLine="720"/>
        <w:rPr>
          <w:rFonts w:ascii="Times New Roman" w:hAnsi="Times New Roman"/>
          <w:sz w:val="24"/>
          <w:szCs w:val="24"/>
        </w:rPr>
      </w:pPr>
      <w:r w:rsidRPr="00DB0BF9">
        <w:rPr>
          <w:rFonts w:ascii="Times New Roman" w:hAnsi="Times New Roman"/>
          <w:sz w:val="24"/>
          <w:szCs w:val="24"/>
        </w:rPr>
        <w:t>Date</w:t>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r>
      <w:r w:rsidRPr="00DB0BF9">
        <w:rPr>
          <w:rFonts w:ascii="Times New Roman" w:hAnsi="Times New Roman"/>
          <w:sz w:val="24"/>
          <w:szCs w:val="24"/>
        </w:rPr>
        <w:tab/>
      </w:r>
      <w:proofErr w:type="spellStart"/>
      <w:r w:rsidRPr="00DB0BF9">
        <w:rPr>
          <w:rFonts w:ascii="Times New Roman" w:hAnsi="Times New Roman"/>
          <w:sz w:val="24"/>
          <w:szCs w:val="24"/>
        </w:rPr>
        <w:t>Date</w:t>
      </w:r>
      <w:proofErr w:type="spellEnd"/>
    </w:p>
    <w:p w:rsidR="00DB0BF9" w:rsidRPr="00DB0BF9" w:rsidRDefault="00DB0BF9" w:rsidP="00DB0BF9">
      <w:pPr>
        <w:spacing w:after="0"/>
        <w:rPr>
          <w:rFonts w:ascii="Times New Roman" w:hAnsi="Times New Roman"/>
          <w:sz w:val="24"/>
          <w:szCs w:val="24"/>
        </w:rPr>
      </w:pPr>
    </w:p>
    <w:p w:rsidR="00DB0BF9" w:rsidRPr="00DB0BF9" w:rsidRDefault="00DB0BF9" w:rsidP="00DB0BF9">
      <w:pPr>
        <w:spacing w:after="0"/>
        <w:ind w:firstLine="720"/>
        <w:rPr>
          <w:rFonts w:ascii="Times New Roman" w:hAnsi="Times New Roman"/>
          <w:sz w:val="24"/>
          <w:szCs w:val="24"/>
        </w:rPr>
      </w:pPr>
      <w:r w:rsidRPr="00DB0BF9">
        <w:rPr>
          <w:rFonts w:ascii="Times New Roman" w:hAnsi="Times New Roman"/>
          <w:sz w:val="24"/>
          <w:szCs w:val="24"/>
        </w:rPr>
        <w:t xml:space="preserve">Current contract holder is exempt from jobsite visit requirement. </w:t>
      </w:r>
    </w:p>
    <w:p w:rsidR="00DB0BF9" w:rsidRPr="00BD4CB7" w:rsidRDefault="00DB0BF9" w:rsidP="00DB0BF9">
      <w:pPr>
        <w:spacing w:after="0"/>
        <w:rPr>
          <w:rFonts w:ascii="Times New Roman" w:hAnsi="Times New Roman"/>
          <w:szCs w:val="24"/>
        </w:rPr>
      </w:pPr>
    </w:p>
    <w:p w:rsidR="00DB0BF9" w:rsidRPr="00D0443C" w:rsidRDefault="00DB0BF9"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DB0BF9">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 xml:space="preserve">mail:  </w:t>
      </w:r>
      <w:hyperlink r:id="rId12" w:history="1">
        <w:r w:rsidR="00DB0BF9" w:rsidRPr="005A2721">
          <w:rPr>
            <w:rStyle w:val="Hyperlink"/>
            <w:rFonts w:ascii="Times New Roman" w:hAnsi="Times New Roman" w:cs="Times New Roman"/>
            <w:sz w:val="24"/>
            <w:szCs w:val="24"/>
          </w:rPr>
          <w:t>Natalie.Verbois2@la.gov</w:t>
        </w:r>
      </w:hyperlink>
      <w:r w:rsidR="00DB0BF9">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r w:rsidR="00DB0BF9">
        <w:rPr>
          <w:rFonts w:ascii="Times New Roman" w:hAnsi="Times New Roman" w:cs="Times New Roman"/>
          <w:bCs/>
          <w:sz w:val="24"/>
          <w:szCs w:val="24"/>
        </w:rPr>
        <w:t xml:space="preserve"> </w:t>
      </w:r>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E7" w:rsidRDefault="00D952E7">
      <w:pPr>
        <w:spacing w:after="0" w:line="240" w:lineRule="auto"/>
      </w:pPr>
      <w:r>
        <w:separator/>
      </w:r>
    </w:p>
  </w:endnote>
  <w:endnote w:type="continuationSeparator" w:id="0">
    <w:p w:rsidR="00D952E7" w:rsidRDefault="00D9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B0BF9">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B0BF9">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E7" w:rsidRDefault="00D952E7">
      <w:pPr>
        <w:spacing w:after="0" w:line="240" w:lineRule="auto"/>
      </w:pPr>
      <w:r>
        <w:separator/>
      </w:r>
    </w:p>
  </w:footnote>
  <w:footnote w:type="continuationSeparator" w:id="0">
    <w:p w:rsidR="00D952E7" w:rsidRDefault="00D95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B0BF9">
      <w:rPr>
        <w:rFonts w:ascii="Times New Roman" w:hAnsi="Times New Roman" w:cs="Times New Roman"/>
        <w:sz w:val="24"/>
        <w:szCs w:val="24"/>
      </w:rPr>
      <w:t xml:space="preserve"> 3000024840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DB0BF9">
      <w:rPr>
        <w:rFonts w:ascii="Times New Roman" w:hAnsi="Times New Roman" w:cs="Times New Roman"/>
        <w:sz w:val="24"/>
        <w:szCs w:val="24"/>
      </w:rPr>
      <w:t xml:space="preserve"> *</w:t>
    </w:r>
    <w:proofErr w:type="spellStart"/>
    <w:r w:rsidR="00DB0BF9">
      <w:rPr>
        <w:rFonts w:ascii="Times New Roman" w:hAnsi="Times New Roman" w:cs="Times New Roman"/>
        <w:sz w:val="24"/>
        <w:szCs w:val="24"/>
      </w:rPr>
      <w:t>Mand</w:t>
    </w:r>
    <w:proofErr w:type="spellEnd"/>
    <w:r w:rsidR="00DB0BF9">
      <w:rPr>
        <w:rFonts w:ascii="Times New Roman" w:hAnsi="Times New Roman" w:cs="Times New Roman"/>
        <w:sz w:val="24"/>
        <w:szCs w:val="24"/>
      </w:rPr>
      <w:t>. Site Visit* - HVAC Maintenance - SOS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E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952E7"/>
    <w:rsid w:val="00DB0BF9"/>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2D9419"/>
  <w15:chartTrackingRefBased/>
  <w15:docId w15:val="{5DEE5E1E-6EAE-4499-95F5-C8CAF37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e.Verbois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Bunch@sos.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2092-F2C8-421D-A240-1B9678B3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7</TotalTime>
  <Pages>8</Pages>
  <Words>2948</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2022-05-19T21:13:00Z</cp:lastPrinted>
  <dcterms:created xsi:type="dcterms:W3CDTF">2025-05-19T18:47:00Z</dcterms:created>
  <dcterms:modified xsi:type="dcterms:W3CDTF">2025-05-19T18:55:00Z</dcterms:modified>
</cp:coreProperties>
</file>