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23DA5" w14:textId="75531B3C" w:rsidR="00686A28" w:rsidRDefault="00C136AA" w:rsidP="005F4250">
      <w:pPr>
        <w:spacing w:before="120" w:after="120"/>
        <w:jc w:val="both"/>
        <w:rPr>
          <w:rFonts w:ascii="Times New Roman" w:hAnsi="Times New Roman"/>
          <w:color w:val="000000" w:themeColor="text1"/>
          <w:sz w:val="22"/>
        </w:rPr>
      </w:pPr>
      <w:r>
        <w:rPr>
          <w:rFonts w:ascii="Times New Roman" w:hAnsi="Times New Roman"/>
          <w:color w:val="000000" w:themeColor="text1"/>
          <w:sz w:val="22"/>
        </w:rPr>
        <w:t xml:space="preserve">This contract is for </w:t>
      </w:r>
      <w:r w:rsidR="00C2685D">
        <w:rPr>
          <w:rFonts w:ascii="Times New Roman" w:hAnsi="Times New Roman"/>
          <w:color w:val="000000" w:themeColor="text1"/>
          <w:sz w:val="22"/>
        </w:rPr>
        <w:t xml:space="preserve">the </w:t>
      </w:r>
      <w:r>
        <w:rPr>
          <w:rFonts w:ascii="Times New Roman" w:hAnsi="Times New Roman"/>
          <w:color w:val="000000" w:themeColor="text1"/>
          <w:sz w:val="22"/>
        </w:rPr>
        <w:t>a</w:t>
      </w:r>
      <w:r w:rsidRPr="00636899">
        <w:rPr>
          <w:rFonts w:ascii="Times New Roman" w:hAnsi="Times New Roman"/>
          <w:color w:val="000000" w:themeColor="text1"/>
          <w:sz w:val="22"/>
        </w:rPr>
        <w:t>nalysis</w:t>
      </w:r>
      <w:r>
        <w:rPr>
          <w:rFonts w:ascii="Times New Roman" w:hAnsi="Times New Roman"/>
          <w:color w:val="000000" w:themeColor="text1"/>
          <w:sz w:val="22"/>
        </w:rPr>
        <w:t xml:space="preserve"> of </w:t>
      </w:r>
      <w:bookmarkStart w:id="0" w:name="_GoBack"/>
      <w:bookmarkEnd w:id="0"/>
      <w:r>
        <w:rPr>
          <w:rFonts w:ascii="Times New Roman" w:hAnsi="Times New Roman"/>
          <w:color w:val="000000" w:themeColor="text1"/>
          <w:sz w:val="22"/>
        </w:rPr>
        <w:t xml:space="preserve">drinking water for </w:t>
      </w:r>
      <w:proofErr w:type="spellStart"/>
      <w:r w:rsidR="00357FBE">
        <w:rPr>
          <w:rFonts w:ascii="Times New Roman" w:hAnsi="Times New Roman"/>
          <w:color w:val="000000" w:themeColor="text1"/>
          <w:sz w:val="22"/>
        </w:rPr>
        <w:t>cyanotoxin</w:t>
      </w:r>
      <w:proofErr w:type="spellEnd"/>
      <w:r w:rsidR="008A360D">
        <w:rPr>
          <w:rFonts w:ascii="Times New Roman" w:hAnsi="Times New Roman"/>
          <w:color w:val="000000" w:themeColor="text1"/>
          <w:sz w:val="22"/>
        </w:rPr>
        <w:t xml:space="preserve"> as s</w:t>
      </w:r>
      <w:r w:rsidR="00203428">
        <w:rPr>
          <w:rFonts w:ascii="Times New Roman" w:hAnsi="Times New Roman"/>
          <w:color w:val="000000" w:themeColor="text1"/>
          <w:sz w:val="22"/>
        </w:rPr>
        <w:t xml:space="preserve">pecified in the </w:t>
      </w:r>
      <w:r w:rsidR="0029119C" w:rsidRPr="00F55C15">
        <w:rPr>
          <w:rFonts w:ascii="Times New Roman" w:hAnsi="Times New Roman"/>
          <w:color w:val="000000" w:themeColor="text1"/>
          <w:sz w:val="22"/>
        </w:rPr>
        <w:t xml:space="preserve">federal </w:t>
      </w:r>
      <w:r w:rsidR="006B7956">
        <w:rPr>
          <w:rFonts w:ascii="Times New Roman" w:hAnsi="Times New Roman"/>
          <w:color w:val="000000" w:themeColor="text1"/>
          <w:sz w:val="22"/>
        </w:rPr>
        <w:t xml:space="preserve">Forth </w:t>
      </w:r>
      <w:r w:rsidR="00203428" w:rsidRPr="00F55C15">
        <w:rPr>
          <w:rFonts w:ascii="Times New Roman" w:hAnsi="Times New Roman"/>
          <w:color w:val="000000" w:themeColor="text1"/>
          <w:sz w:val="22"/>
        </w:rPr>
        <w:t>Unregulated Contaminants</w:t>
      </w:r>
      <w:r w:rsidR="008A360D">
        <w:rPr>
          <w:rFonts w:ascii="Times New Roman" w:hAnsi="Times New Roman"/>
          <w:color w:val="000000" w:themeColor="text1"/>
          <w:sz w:val="22"/>
        </w:rPr>
        <w:t xml:space="preserve"> Monitoring Rule </w:t>
      </w:r>
      <w:r w:rsidR="006B7956">
        <w:rPr>
          <w:rFonts w:ascii="Times New Roman" w:hAnsi="Times New Roman"/>
          <w:color w:val="000000" w:themeColor="text1"/>
          <w:sz w:val="22"/>
        </w:rPr>
        <w:t>[UCMR</w:t>
      </w:r>
      <w:r w:rsidR="008A360D">
        <w:rPr>
          <w:rFonts w:ascii="Times New Roman" w:hAnsi="Times New Roman"/>
          <w:color w:val="000000" w:themeColor="text1"/>
          <w:sz w:val="22"/>
        </w:rPr>
        <w:t>4</w:t>
      </w:r>
      <w:r w:rsidR="006B7956">
        <w:rPr>
          <w:rFonts w:ascii="Times New Roman" w:hAnsi="Times New Roman"/>
          <w:color w:val="000000" w:themeColor="text1"/>
          <w:sz w:val="22"/>
        </w:rPr>
        <w:t>]</w:t>
      </w:r>
      <w:r w:rsidR="00D8056A">
        <w:rPr>
          <w:rFonts w:ascii="Times New Roman" w:hAnsi="Times New Roman"/>
          <w:color w:val="000000" w:themeColor="text1"/>
          <w:sz w:val="22"/>
        </w:rPr>
        <w:t xml:space="preserve"> </w:t>
      </w:r>
      <w:r w:rsidR="00D2321D">
        <w:rPr>
          <w:rFonts w:ascii="Times New Roman" w:hAnsi="Times New Roman"/>
          <w:color w:val="000000" w:themeColor="text1"/>
          <w:sz w:val="22"/>
        </w:rPr>
        <w:t>(</w:t>
      </w:r>
      <w:r w:rsidR="00D8056A" w:rsidRPr="00D8056A">
        <w:rPr>
          <w:rFonts w:ascii="Times New Roman" w:hAnsi="Times New Roman"/>
          <w:color w:val="000000" w:themeColor="text1"/>
          <w:sz w:val="22"/>
        </w:rPr>
        <w:t xml:space="preserve">Federal Register Volume 81, Issue 244 </w:t>
      </w:r>
      <w:r w:rsidR="00D2321D">
        <w:rPr>
          <w:rFonts w:ascii="Times New Roman" w:hAnsi="Times New Roman"/>
          <w:color w:val="000000" w:themeColor="text1"/>
          <w:sz w:val="22"/>
        </w:rPr>
        <w:t>[</w:t>
      </w:r>
      <w:r w:rsidR="00D8056A" w:rsidRPr="00D8056A">
        <w:rPr>
          <w:rFonts w:ascii="Times New Roman" w:hAnsi="Times New Roman"/>
          <w:color w:val="000000" w:themeColor="text1"/>
          <w:sz w:val="22"/>
        </w:rPr>
        <w:t>December 20, 2016</w:t>
      </w:r>
      <w:r w:rsidR="00D2321D">
        <w:rPr>
          <w:rFonts w:ascii="Times New Roman" w:hAnsi="Times New Roman"/>
          <w:color w:val="000000" w:themeColor="text1"/>
          <w:sz w:val="22"/>
        </w:rPr>
        <w:t>]</w:t>
      </w:r>
      <w:r w:rsidR="00D8056A" w:rsidRPr="00D8056A">
        <w:rPr>
          <w:rFonts w:ascii="Times New Roman" w:hAnsi="Times New Roman"/>
          <w:color w:val="000000" w:themeColor="text1"/>
          <w:sz w:val="22"/>
        </w:rPr>
        <w:t>)</w:t>
      </w:r>
      <w:r>
        <w:rPr>
          <w:rFonts w:ascii="Times New Roman" w:hAnsi="Times New Roman"/>
          <w:color w:val="000000" w:themeColor="text1"/>
          <w:sz w:val="22"/>
        </w:rPr>
        <w:t xml:space="preserve">. </w:t>
      </w:r>
      <w:r w:rsidR="009B1089">
        <w:rPr>
          <w:rFonts w:ascii="Times New Roman" w:hAnsi="Times New Roman"/>
          <w:color w:val="000000" w:themeColor="text1"/>
          <w:sz w:val="22"/>
        </w:rPr>
        <w:t>V</w:t>
      </w:r>
      <w:r w:rsidR="001D601C">
        <w:rPr>
          <w:rFonts w:ascii="Times New Roman" w:hAnsi="Times New Roman"/>
          <w:color w:val="000000" w:themeColor="text1"/>
          <w:sz w:val="22"/>
        </w:rPr>
        <w:t>endor</w:t>
      </w:r>
      <w:r w:rsidR="001B62DE">
        <w:rPr>
          <w:rFonts w:ascii="Times New Roman" w:hAnsi="Times New Roman"/>
          <w:color w:val="000000" w:themeColor="text1"/>
          <w:sz w:val="22"/>
        </w:rPr>
        <w:t>(s)</w:t>
      </w:r>
      <w:r w:rsidR="001D601C">
        <w:rPr>
          <w:rFonts w:ascii="Times New Roman" w:hAnsi="Times New Roman"/>
          <w:color w:val="000000" w:themeColor="text1"/>
          <w:sz w:val="22"/>
        </w:rPr>
        <w:t xml:space="preserve"> </w:t>
      </w:r>
      <w:r w:rsidR="000A4673">
        <w:rPr>
          <w:rFonts w:ascii="Times New Roman" w:hAnsi="Times New Roman"/>
          <w:color w:val="000000" w:themeColor="text1"/>
          <w:sz w:val="22"/>
        </w:rPr>
        <w:t xml:space="preserve">performing the analyses </w:t>
      </w:r>
      <w:r w:rsidR="00437A96">
        <w:rPr>
          <w:rFonts w:ascii="Times New Roman" w:hAnsi="Times New Roman"/>
          <w:color w:val="000000" w:themeColor="text1"/>
          <w:sz w:val="22"/>
        </w:rPr>
        <w:t xml:space="preserve">under this contract </w:t>
      </w:r>
      <w:r w:rsidR="00F4328D">
        <w:rPr>
          <w:rFonts w:ascii="Times New Roman" w:hAnsi="Times New Roman"/>
          <w:color w:val="000000" w:themeColor="text1"/>
          <w:sz w:val="22"/>
        </w:rPr>
        <w:t xml:space="preserve">shall be </w:t>
      </w:r>
      <w:r w:rsidR="0029119C">
        <w:rPr>
          <w:rFonts w:ascii="Times New Roman" w:hAnsi="Times New Roman"/>
          <w:color w:val="000000" w:themeColor="text1"/>
          <w:sz w:val="22"/>
        </w:rPr>
        <w:t>c</w:t>
      </w:r>
      <w:r w:rsidR="001D601C">
        <w:rPr>
          <w:rFonts w:ascii="Times New Roman" w:hAnsi="Times New Roman"/>
          <w:color w:val="000000" w:themeColor="text1"/>
          <w:sz w:val="22"/>
        </w:rPr>
        <w:t>ertified</w:t>
      </w:r>
      <w:r w:rsidR="00F4328D">
        <w:rPr>
          <w:rFonts w:ascii="Times New Roman" w:hAnsi="Times New Roman"/>
          <w:color w:val="000000" w:themeColor="text1"/>
          <w:sz w:val="22"/>
        </w:rPr>
        <w:t xml:space="preserve"> </w:t>
      </w:r>
      <w:r w:rsidR="00A45BB5" w:rsidRPr="009F7F7F">
        <w:rPr>
          <w:rFonts w:ascii="Times New Roman" w:hAnsi="Times New Roman"/>
          <w:color w:val="000000" w:themeColor="text1"/>
          <w:sz w:val="22"/>
        </w:rPr>
        <w:t>by</w:t>
      </w:r>
      <w:r w:rsidR="00A45BB5">
        <w:rPr>
          <w:rFonts w:ascii="Times New Roman" w:hAnsi="Times New Roman"/>
          <w:color w:val="000000" w:themeColor="text1"/>
          <w:sz w:val="22"/>
        </w:rPr>
        <w:t xml:space="preserve"> </w:t>
      </w:r>
      <w:r w:rsidR="00F4328D">
        <w:rPr>
          <w:rFonts w:ascii="Times New Roman" w:hAnsi="Times New Roman"/>
          <w:color w:val="000000" w:themeColor="text1"/>
          <w:sz w:val="22"/>
        </w:rPr>
        <w:t>US</w:t>
      </w:r>
      <w:r w:rsidR="00A45BB5">
        <w:rPr>
          <w:rFonts w:ascii="Times New Roman" w:hAnsi="Times New Roman"/>
          <w:color w:val="000000" w:themeColor="text1"/>
          <w:sz w:val="22"/>
        </w:rPr>
        <w:t xml:space="preserve">EPA or other State Agency </w:t>
      </w:r>
      <w:r w:rsidR="00A45BB5" w:rsidRPr="009F7F7F">
        <w:rPr>
          <w:rFonts w:ascii="Times New Roman" w:hAnsi="Times New Roman"/>
          <w:color w:val="000000" w:themeColor="text1"/>
          <w:sz w:val="22"/>
        </w:rPr>
        <w:t xml:space="preserve">to analyze </w:t>
      </w:r>
      <w:r w:rsidR="00F4328D">
        <w:rPr>
          <w:rFonts w:ascii="Times New Roman" w:hAnsi="Times New Roman"/>
          <w:color w:val="000000" w:themeColor="text1"/>
          <w:sz w:val="22"/>
        </w:rPr>
        <w:t xml:space="preserve">drinking water samples for </w:t>
      </w:r>
      <w:proofErr w:type="spellStart"/>
      <w:r w:rsidR="00A45BB5" w:rsidRPr="00F4328D">
        <w:rPr>
          <w:rFonts w:ascii="Times New Roman" w:hAnsi="Times New Roman"/>
          <w:color w:val="000000" w:themeColor="text1"/>
          <w:sz w:val="22"/>
        </w:rPr>
        <w:t>cyanotoxin</w:t>
      </w:r>
      <w:proofErr w:type="spellEnd"/>
      <w:r w:rsidR="00A45BB5" w:rsidRPr="00F4328D">
        <w:rPr>
          <w:rFonts w:ascii="Times New Roman" w:hAnsi="Times New Roman"/>
          <w:color w:val="000000" w:themeColor="text1"/>
          <w:sz w:val="22"/>
        </w:rPr>
        <w:t xml:space="preserve"> </w:t>
      </w:r>
      <w:r w:rsidR="00A45BB5" w:rsidRPr="009F7F7F">
        <w:rPr>
          <w:rFonts w:ascii="Times New Roman" w:hAnsi="Times New Roman"/>
          <w:color w:val="000000" w:themeColor="text1"/>
          <w:sz w:val="22"/>
        </w:rPr>
        <w:t xml:space="preserve">parameters </w:t>
      </w:r>
      <w:r w:rsidR="00B34AB1" w:rsidRPr="00F55C15">
        <w:rPr>
          <w:rFonts w:ascii="Times New Roman" w:hAnsi="Times New Roman"/>
          <w:color w:val="000000" w:themeColor="text1"/>
          <w:sz w:val="22"/>
        </w:rPr>
        <w:t xml:space="preserve">outlined in this solicitation (see </w:t>
      </w:r>
      <w:r w:rsidR="00B34AB1" w:rsidRPr="009F7F7F">
        <w:rPr>
          <w:rFonts w:ascii="Times New Roman" w:hAnsi="Times New Roman"/>
          <w:color w:val="000000" w:themeColor="text1"/>
          <w:sz w:val="22"/>
        </w:rPr>
        <w:t>service description)</w:t>
      </w:r>
      <w:r w:rsidR="00F06BDC" w:rsidRPr="009F7F7F">
        <w:rPr>
          <w:rFonts w:ascii="Times New Roman" w:hAnsi="Times New Roman"/>
          <w:color w:val="000000" w:themeColor="text1"/>
          <w:sz w:val="22"/>
        </w:rPr>
        <w:t xml:space="preserve">. </w:t>
      </w:r>
      <w:r w:rsidR="00686A28">
        <w:rPr>
          <w:rFonts w:ascii="Times New Roman" w:hAnsi="Times New Roman"/>
          <w:color w:val="000000" w:themeColor="text1"/>
          <w:sz w:val="22"/>
        </w:rPr>
        <w:t>Vendor shall provide a copy of their laboratory c</w:t>
      </w:r>
      <w:r w:rsidR="00686A28" w:rsidRPr="00636899">
        <w:rPr>
          <w:rFonts w:ascii="Times New Roman" w:hAnsi="Times New Roman"/>
          <w:color w:val="000000" w:themeColor="text1"/>
          <w:sz w:val="22"/>
        </w:rPr>
        <w:t xml:space="preserve">ertification </w:t>
      </w:r>
      <w:r w:rsidR="00686A28">
        <w:rPr>
          <w:rFonts w:ascii="Times New Roman" w:hAnsi="Times New Roman"/>
          <w:color w:val="000000" w:themeColor="text1"/>
          <w:sz w:val="22"/>
        </w:rPr>
        <w:t xml:space="preserve">prior to award and should include it </w:t>
      </w:r>
      <w:r w:rsidR="00686A28" w:rsidRPr="00636899">
        <w:rPr>
          <w:rFonts w:ascii="Times New Roman" w:hAnsi="Times New Roman"/>
          <w:color w:val="000000" w:themeColor="text1"/>
          <w:sz w:val="22"/>
        </w:rPr>
        <w:t>with</w:t>
      </w:r>
      <w:r w:rsidR="00686A28">
        <w:rPr>
          <w:rFonts w:ascii="Times New Roman" w:hAnsi="Times New Roman"/>
          <w:color w:val="000000" w:themeColor="text1"/>
          <w:sz w:val="22"/>
        </w:rPr>
        <w:t xml:space="preserve"> the</w:t>
      </w:r>
      <w:r w:rsidR="00686A28" w:rsidRPr="00636899">
        <w:rPr>
          <w:rFonts w:ascii="Times New Roman" w:hAnsi="Times New Roman"/>
          <w:color w:val="000000" w:themeColor="text1"/>
          <w:sz w:val="22"/>
        </w:rPr>
        <w:t xml:space="preserve"> bid package.</w:t>
      </w:r>
      <w:r w:rsidR="009E1805" w:rsidRPr="009E1805">
        <w:rPr>
          <w:rFonts w:ascii="Times New Roman" w:hAnsi="Times New Roman"/>
          <w:color w:val="000000" w:themeColor="text1"/>
          <w:sz w:val="22"/>
        </w:rPr>
        <w:t xml:space="preserve"> </w:t>
      </w:r>
    </w:p>
    <w:p w14:paraId="578583FF" w14:textId="68DF1338" w:rsidR="00B24C80" w:rsidRPr="00636899" w:rsidRDefault="0015649A" w:rsidP="005F4250">
      <w:pPr>
        <w:spacing w:before="120" w:after="120"/>
        <w:jc w:val="both"/>
        <w:rPr>
          <w:rFonts w:ascii="Times New Roman" w:hAnsi="Times New Roman"/>
          <w:color w:val="000000" w:themeColor="text1"/>
          <w:sz w:val="22"/>
        </w:rPr>
      </w:pPr>
      <w:r>
        <w:rPr>
          <w:rFonts w:ascii="Times New Roman" w:hAnsi="Times New Roman"/>
          <w:color w:val="000000" w:themeColor="text1"/>
          <w:sz w:val="22"/>
        </w:rPr>
        <w:t xml:space="preserve">Vendor shall perform the </w:t>
      </w:r>
      <w:proofErr w:type="spellStart"/>
      <w:r>
        <w:rPr>
          <w:rFonts w:ascii="Times New Roman" w:hAnsi="Times New Roman"/>
          <w:color w:val="000000" w:themeColor="text1"/>
          <w:sz w:val="22"/>
        </w:rPr>
        <w:t>cyanotoxin</w:t>
      </w:r>
      <w:proofErr w:type="spellEnd"/>
      <w:r w:rsidR="004D456F">
        <w:rPr>
          <w:rFonts w:ascii="Times New Roman" w:hAnsi="Times New Roman"/>
          <w:color w:val="000000" w:themeColor="text1"/>
          <w:sz w:val="22"/>
        </w:rPr>
        <w:t xml:space="preserve"> a</w:t>
      </w:r>
      <w:r w:rsidR="00B24C80" w:rsidRPr="00636899">
        <w:rPr>
          <w:rFonts w:ascii="Times New Roman" w:hAnsi="Times New Roman"/>
          <w:color w:val="000000" w:themeColor="text1"/>
          <w:sz w:val="22"/>
        </w:rPr>
        <w:t>nalys</w:t>
      </w:r>
      <w:r w:rsidR="00F06BDC">
        <w:rPr>
          <w:rFonts w:ascii="Times New Roman" w:hAnsi="Times New Roman"/>
          <w:color w:val="000000" w:themeColor="text1"/>
          <w:sz w:val="22"/>
        </w:rPr>
        <w:t>e</w:t>
      </w:r>
      <w:r w:rsidR="00B24C80" w:rsidRPr="00636899">
        <w:rPr>
          <w:rFonts w:ascii="Times New Roman" w:hAnsi="Times New Roman"/>
          <w:color w:val="000000" w:themeColor="text1"/>
          <w:sz w:val="22"/>
        </w:rPr>
        <w:t xml:space="preserve">s </w:t>
      </w:r>
      <w:r w:rsidR="004D456F">
        <w:rPr>
          <w:rFonts w:ascii="Times New Roman" w:hAnsi="Times New Roman"/>
          <w:color w:val="000000" w:themeColor="text1"/>
          <w:sz w:val="22"/>
        </w:rPr>
        <w:t xml:space="preserve">using </w:t>
      </w:r>
      <w:r w:rsidR="00767406">
        <w:rPr>
          <w:rFonts w:ascii="Times New Roman" w:hAnsi="Times New Roman"/>
          <w:color w:val="000000" w:themeColor="text1"/>
          <w:sz w:val="22"/>
        </w:rPr>
        <w:t xml:space="preserve">approved analytical </w:t>
      </w:r>
      <w:r w:rsidR="00B24C80">
        <w:rPr>
          <w:rFonts w:ascii="Times New Roman" w:hAnsi="Times New Roman"/>
          <w:color w:val="000000" w:themeColor="text1"/>
          <w:sz w:val="22"/>
        </w:rPr>
        <w:t>m</w:t>
      </w:r>
      <w:r w:rsidR="00B24C80" w:rsidRPr="00636899">
        <w:rPr>
          <w:rFonts w:ascii="Times New Roman" w:hAnsi="Times New Roman"/>
          <w:color w:val="000000" w:themeColor="text1"/>
          <w:sz w:val="22"/>
        </w:rPr>
        <w:t>ethod</w:t>
      </w:r>
      <w:r w:rsidR="00B24C80">
        <w:rPr>
          <w:rFonts w:ascii="Times New Roman" w:hAnsi="Times New Roman"/>
          <w:color w:val="000000" w:themeColor="text1"/>
          <w:sz w:val="22"/>
        </w:rPr>
        <w:t>s</w:t>
      </w:r>
      <w:r w:rsidR="00F06BDC">
        <w:rPr>
          <w:rFonts w:ascii="Times New Roman" w:hAnsi="Times New Roman"/>
          <w:color w:val="000000" w:themeColor="text1"/>
          <w:sz w:val="22"/>
        </w:rPr>
        <w:t xml:space="preserve"> outlined in this solicitation</w:t>
      </w:r>
      <w:r w:rsidR="00A45BB5">
        <w:rPr>
          <w:rFonts w:ascii="Times New Roman" w:hAnsi="Times New Roman"/>
          <w:color w:val="000000" w:themeColor="text1"/>
          <w:sz w:val="22"/>
        </w:rPr>
        <w:t>.</w:t>
      </w:r>
      <w:r w:rsidR="00F06BDC">
        <w:rPr>
          <w:rFonts w:ascii="Times New Roman" w:hAnsi="Times New Roman"/>
          <w:color w:val="000000" w:themeColor="text1"/>
          <w:sz w:val="22"/>
        </w:rPr>
        <w:t xml:space="preserve"> </w:t>
      </w:r>
      <w:r>
        <w:rPr>
          <w:rFonts w:ascii="Times New Roman" w:hAnsi="Times New Roman"/>
          <w:color w:val="000000" w:themeColor="text1"/>
          <w:sz w:val="22"/>
        </w:rPr>
        <w:t>Vendor shall provide the sample b</w:t>
      </w:r>
      <w:r w:rsidR="000712CB">
        <w:rPr>
          <w:rFonts w:ascii="Times New Roman" w:hAnsi="Times New Roman"/>
          <w:color w:val="000000" w:themeColor="text1"/>
          <w:sz w:val="22"/>
        </w:rPr>
        <w:t xml:space="preserve">ottles with any preservatives based on analytical method requirements.  </w:t>
      </w:r>
      <w:r w:rsidR="002D7B12">
        <w:rPr>
          <w:rFonts w:ascii="Times New Roman" w:hAnsi="Times New Roman"/>
          <w:color w:val="000000" w:themeColor="text1"/>
          <w:sz w:val="22"/>
        </w:rPr>
        <w:t xml:space="preserve">Final </w:t>
      </w:r>
      <w:r w:rsidR="004D456F">
        <w:rPr>
          <w:rFonts w:ascii="Times New Roman" w:hAnsi="Times New Roman"/>
          <w:color w:val="000000" w:themeColor="text1"/>
          <w:sz w:val="22"/>
        </w:rPr>
        <w:t>a</w:t>
      </w:r>
      <w:r w:rsidR="00B24C80">
        <w:rPr>
          <w:rFonts w:ascii="Times New Roman" w:hAnsi="Times New Roman"/>
          <w:color w:val="000000" w:themeColor="text1"/>
          <w:sz w:val="22"/>
        </w:rPr>
        <w:t xml:space="preserve">nalytical </w:t>
      </w:r>
      <w:r w:rsidR="004D456F">
        <w:rPr>
          <w:rFonts w:ascii="Times New Roman" w:hAnsi="Times New Roman"/>
          <w:color w:val="000000" w:themeColor="text1"/>
          <w:sz w:val="22"/>
        </w:rPr>
        <w:t>r</w:t>
      </w:r>
      <w:r w:rsidR="00B24C80">
        <w:rPr>
          <w:rFonts w:ascii="Times New Roman" w:hAnsi="Times New Roman"/>
          <w:color w:val="000000" w:themeColor="text1"/>
          <w:sz w:val="22"/>
        </w:rPr>
        <w:t>esults</w:t>
      </w:r>
      <w:r w:rsidR="00B24C80" w:rsidRPr="00636899">
        <w:rPr>
          <w:rFonts w:ascii="Times New Roman" w:hAnsi="Times New Roman"/>
          <w:color w:val="000000" w:themeColor="text1"/>
          <w:sz w:val="22"/>
        </w:rPr>
        <w:t xml:space="preserve"> </w:t>
      </w:r>
      <w:r w:rsidR="00E22F43">
        <w:rPr>
          <w:rFonts w:ascii="Times New Roman" w:hAnsi="Times New Roman"/>
          <w:color w:val="000000" w:themeColor="text1"/>
          <w:sz w:val="22"/>
        </w:rPr>
        <w:t>shall</w:t>
      </w:r>
      <w:r w:rsidR="00B24C80">
        <w:rPr>
          <w:rFonts w:ascii="Times New Roman" w:hAnsi="Times New Roman"/>
          <w:color w:val="000000" w:themeColor="text1"/>
          <w:sz w:val="22"/>
        </w:rPr>
        <w:t xml:space="preserve"> be </w:t>
      </w:r>
      <w:r w:rsidR="004D456F">
        <w:rPr>
          <w:rFonts w:ascii="Times New Roman" w:hAnsi="Times New Roman"/>
          <w:color w:val="000000" w:themeColor="text1"/>
          <w:sz w:val="22"/>
        </w:rPr>
        <w:t>provided</w:t>
      </w:r>
      <w:r w:rsidR="00B24C80">
        <w:rPr>
          <w:rFonts w:ascii="Times New Roman" w:hAnsi="Times New Roman"/>
          <w:color w:val="000000" w:themeColor="text1"/>
          <w:sz w:val="22"/>
        </w:rPr>
        <w:t xml:space="preserve"> to the </w:t>
      </w:r>
      <w:r w:rsidR="004D456F">
        <w:rPr>
          <w:rFonts w:ascii="Times New Roman" w:hAnsi="Times New Roman"/>
          <w:color w:val="000000" w:themeColor="text1"/>
          <w:sz w:val="22"/>
        </w:rPr>
        <w:t xml:space="preserve">LDH </w:t>
      </w:r>
      <w:r w:rsidR="00B24C80">
        <w:rPr>
          <w:rFonts w:ascii="Times New Roman" w:hAnsi="Times New Roman"/>
          <w:color w:val="000000" w:themeColor="text1"/>
          <w:sz w:val="22"/>
        </w:rPr>
        <w:t>Safe D</w:t>
      </w:r>
      <w:r w:rsidR="00B24C80" w:rsidRPr="00636899">
        <w:rPr>
          <w:rFonts w:ascii="Times New Roman" w:hAnsi="Times New Roman"/>
          <w:color w:val="000000" w:themeColor="text1"/>
          <w:sz w:val="22"/>
        </w:rPr>
        <w:t xml:space="preserve">rinking </w:t>
      </w:r>
      <w:r w:rsidR="00B24C80">
        <w:rPr>
          <w:rFonts w:ascii="Times New Roman" w:hAnsi="Times New Roman"/>
          <w:color w:val="000000" w:themeColor="text1"/>
          <w:sz w:val="22"/>
        </w:rPr>
        <w:t>W</w:t>
      </w:r>
      <w:r w:rsidR="00B24C80" w:rsidRPr="00636899">
        <w:rPr>
          <w:rFonts w:ascii="Times New Roman" w:hAnsi="Times New Roman"/>
          <w:color w:val="000000" w:themeColor="text1"/>
          <w:sz w:val="22"/>
        </w:rPr>
        <w:t>ater</w:t>
      </w:r>
      <w:r w:rsidR="00B24C80">
        <w:rPr>
          <w:rFonts w:ascii="Times New Roman" w:hAnsi="Times New Roman"/>
          <w:color w:val="000000" w:themeColor="text1"/>
          <w:sz w:val="22"/>
        </w:rPr>
        <w:t xml:space="preserve"> </w:t>
      </w:r>
      <w:r w:rsidR="00B24C80" w:rsidRPr="00636899">
        <w:rPr>
          <w:rFonts w:ascii="Times New Roman" w:hAnsi="Times New Roman"/>
          <w:color w:val="000000" w:themeColor="text1"/>
          <w:sz w:val="22"/>
        </w:rPr>
        <w:t>Program (</w:t>
      </w:r>
      <w:r w:rsidR="00D76062">
        <w:rPr>
          <w:rFonts w:ascii="Times New Roman" w:hAnsi="Times New Roman"/>
          <w:color w:val="000000" w:themeColor="text1"/>
          <w:sz w:val="22"/>
        </w:rPr>
        <w:t>SDWP</w:t>
      </w:r>
      <w:r w:rsidR="00B24C80" w:rsidRPr="00636899">
        <w:rPr>
          <w:rFonts w:ascii="Times New Roman" w:hAnsi="Times New Roman"/>
          <w:color w:val="000000" w:themeColor="text1"/>
          <w:sz w:val="22"/>
        </w:rPr>
        <w:t>)</w:t>
      </w:r>
      <w:r w:rsidR="00A677BA">
        <w:rPr>
          <w:rFonts w:ascii="Times New Roman" w:hAnsi="Times New Roman"/>
          <w:color w:val="000000" w:themeColor="text1"/>
          <w:sz w:val="22"/>
        </w:rPr>
        <w:t xml:space="preserve"> </w:t>
      </w:r>
      <w:r w:rsidR="004D456F">
        <w:rPr>
          <w:rFonts w:ascii="Times New Roman" w:hAnsi="Times New Roman"/>
          <w:color w:val="000000" w:themeColor="text1"/>
          <w:sz w:val="22"/>
        </w:rPr>
        <w:t xml:space="preserve">as </w:t>
      </w:r>
      <w:r w:rsidR="00A677BA">
        <w:rPr>
          <w:rFonts w:ascii="Times New Roman" w:hAnsi="Times New Roman"/>
          <w:color w:val="000000" w:themeColor="text1"/>
          <w:sz w:val="22"/>
        </w:rPr>
        <w:t xml:space="preserve">stipulated </w:t>
      </w:r>
      <w:r w:rsidR="009F7F7F">
        <w:rPr>
          <w:rFonts w:ascii="Times New Roman" w:hAnsi="Times New Roman"/>
          <w:color w:val="000000" w:themeColor="text1"/>
          <w:sz w:val="22"/>
        </w:rPr>
        <w:t>in this solicitation</w:t>
      </w:r>
      <w:r w:rsidR="00B24C80" w:rsidRPr="00636899">
        <w:rPr>
          <w:rFonts w:ascii="Times New Roman" w:hAnsi="Times New Roman"/>
          <w:color w:val="000000" w:themeColor="text1"/>
          <w:sz w:val="22"/>
        </w:rPr>
        <w:t>.</w:t>
      </w:r>
      <w:r w:rsidR="00B24C80">
        <w:rPr>
          <w:rFonts w:ascii="Times New Roman" w:hAnsi="Times New Roman"/>
          <w:color w:val="000000" w:themeColor="text1"/>
          <w:sz w:val="22"/>
        </w:rPr>
        <w:t xml:space="preserve"> </w:t>
      </w:r>
      <w:r w:rsidR="003B5BF1">
        <w:rPr>
          <w:rFonts w:ascii="Times New Roman" w:hAnsi="Times New Roman"/>
          <w:color w:val="000000" w:themeColor="text1"/>
          <w:sz w:val="22"/>
        </w:rPr>
        <w:t xml:space="preserve">The estimated quantity for each line item in this solicitation is </w:t>
      </w:r>
      <w:r w:rsidR="009E714D">
        <w:rPr>
          <w:rFonts w:ascii="Times New Roman" w:hAnsi="Times New Roman"/>
          <w:color w:val="000000" w:themeColor="text1"/>
          <w:sz w:val="22"/>
        </w:rPr>
        <w:t>1</w:t>
      </w:r>
      <w:r w:rsidR="00077B90">
        <w:rPr>
          <w:rFonts w:ascii="Times New Roman" w:hAnsi="Times New Roman"/>
          <w:color w:val="000000" w:themeColor="text1"/>
          <w:sz w:val="22"/>
        </w:rPr>
        <w:t>25 samples in Fiscal Year 2026, July 1, 2025-June 30, 2026</w:t>
      </w:r>
      <w:r w:rsidR="009E714D">
        <w:rPr>
          <w:rFonts w:ascii="Times New Roman" w:hAnsi="Times New Roman"/>
          <w:color w:val="000000" w:themeColor="text1"/>
          <w:sz w:val="22"/>
        </w:rPr>
        <w:t>.</w:t>
      </w:r>
    </w:p>
    <w:tbl>
      <w:tblPr>
        <w:tblStyle w:val="TableGrid"/>
        <w:tblW w:w="0" w:type="auto"/>
        <w:jc w:val="center"/>
        <w:tblLook w:val="04A0" w:firstRow="1" w:lastRow="0" w:firstColumn="1" w:lastColumn="0" w:noHBand="0" w:noVBand="1"/>
      </w:tblPr>
      <w:tblGrid>
        <w:gridCol w:w="867"/>
        <w:gridCol w:w="3448"/>
        <w:gridCol w:w="4410"/>
      </w:tblGrid>
      <w:tr w:rsidR="00B9570D" w14:paraId="1B44692C" w14:textId="51BBCFFD" w:rsidTr="00D8056A">
        <w:trPr>
          <w:jc w:val="center"/>
        </w:trPr>
        <w:tc>
          <w:tcPr>
            <w:tcW w:w="867" w:type="dxa"/>
          </w:tcPr>
          <w:p w14:paraId="12F53A5D" w14:textId="0F912502" w:rsidR="00B9570D" w:rsidRPr="00635541" w:rsidRDefault="00EA3C92" w:rsidP="00FA756D">
            <w:pPr>
              <w:rPr>
                <w:rFonts w:ascii="Times New Roman" w:hAnsi="Times New Roman"/>
                <w:b/>
                <w:color w:val="000000" w:themeColor="text1"/>
                <w:sz w:val="22"/>
              </w:rPr>
            </w:pPr>
            <w:r>
              <w:rPr>
                <w:rFonts w:ascii="Times New Roman" w:hAnsi="Times New Roman"/>
                <w:b/>
                <w:color w:val="000000" w:themeColor="text1"/>
                <w:sz w:val="22"/>
              </w:rPr>
              <w:t>Line</w:t>
            </w:r>
          </w:p>
        </w:tc>
        <w:tc>
          <w:tcPr>
            <w:tcW w:w="3448" w:type="dxa"/>
          </w:tcPr>
          <w:p w14:paraId="64CCAE37" w14:textId="2F666C0C" w:rsidR="00B9570D" w:rsidRPr="00635541" w:rsidRDefault="00B9570D" w:rsidP="00955F40">
            <w:pPr>
              <w:rPr>
                <w:rFonts w:ascii="Times New Roman" w:hAnsi="Times New Roman"/>
                <w:b/>
                <w:color w:val="000000" w:themeColor="text1"/>
                <w:sz w:val="22"/>
              </w:rPr>
            </w:pPr>
            <w:r w:rsidRPr="00635541">
              <w:rPr>
                <w:rFonts w:ascii="Times New Roman" w:hAnsi="Times New Roman"/>
                <w:b/>
                <w:color w:val="000000" w:themeColor="text1"/>
                <w:sz w:val="22"/>
              </w:rPr>
              <w:t>Service Description</w:t>
            </w:r>
            <w:r>
              <w:rPr>
                <w:rFonts w:ascii="Times New Roman" w:hAnsi="Times New Roman"/>
                <w:b/>
                <w:color w:val="000000" w:themeColor="text1"/>
                <w:sz w:val="22"/>
              </w:rPr>
              <w:t xml:space="preserve"> - Parameters</w:t>
            </w:r>
          </w:p>
        </w:tc>
        <w:tc>
          <w:tcPr>
            <w:tcW w:w="4410" w:type="dxa"/>
          </w:tcPr>
          <w:p w14:paraId="2D270FED" w14:textId="59A3FCA2" w:rsidR="00B9570D" w:rsidRPr="00635541" w:rsidRDefault="00EA3C92" w:rsidP="00955F40">
            <w:pPr>
              <w:rPr>
                <w:rFonts w:ascii="Times New Roman" w:hAnsi="Times New Roman"/>
                <w:b/>
                <w:color w:val="000000" w:themeColor="text1"/>
                <w:sz w:val="22"/>
              </w:rPr>
            </w:pPr>
            <w:r>
              <w:rPr>
                <w:rFonts w:ascii="Times New Roman" w:hAnsi="Times New Roman"/>
                <w:b/>
                <w:color w:val="000000" w:themeColor="text1"/>
                <w:sz w:val="22"/>
              </w:rPr>
              <w:t>Approved Method</w:t>
            </w:r>
          </w:p>
        </w:tc>
      </w:tr>
      <w:tr w:rsidR="00B9570D" w14:paraId="3E93355E" w14:textId="4E9AC9F8" w:rsidTr="00D8056A">
        <w:trPr>
          <w:jc w:val="center"/>
        </w:trPr>
        <w:tc>
          <w:tcPr>
            <w:tcW w:w="867" w:type="dxa"/>
          </w:tcPr>
          <w:p w14:paraId="7AEA2E1E" w14:textId="48D423DA" w:rsidR="00B9570D" w:rsidRPr="00F55C15" w:rsidRDefault="00B9570D" w:rsidP="00955F40">
            <w:pPr>
              <w:rPr>
                <w:rFonts w:ascii="Times New Roman" w:hAnsi="Times New Roman"/>
                <w:sz w:val="22"/>
              </w:rPr>
            </w:pPr>
            <w:r w:rsidRPr="00F55C15">
              <w:rPr>
                <w:rFonts w:ascii="Times New Roman" w:hAnsi="Times New Roman"/>
                <w:sz w:val="22"/>
              </w:rPr>
              <w:t>1</w:t>
            </w:r>
          </w:p>
        </w:tc>
        <w:tc>
          <w:tcPr>
            <w:tcW w:w="3448" w:type="dxa"/>
          </w:tcPr>
          <w:p w14:paraId="04F8243F" w14:textId="6CCEBBDD" w:rsidR="00B9570D" w:rsidRPr="00F55C15" w:rsidRDefault="00EA3C92" w:rsidP="009A3279">
            <w:pPr>
              <w:rPr>
                <w:rFonts w:ascii="Times New Roman" w:hAnsi="Times New Roman"/>
                <w:sz w:val="22"/>
              </w:rPr>
            </w:pPr>
            <w:r>
              <w:rPr>
                <w:rFonts w:ascii="Times New Roman" w:hAnsi="Times New Roman"/>
                <w:sz w:val="22"/>
              </w:rPr>
              <w:t xml:space="preserve">Total </w:t>
            </w:r>
            <w:proofErr w:type="spellStart"/>
            <w:r w:rsidRPr="00EA3C92">
              <w:rPr>
                <w:rFonts w:ascii="Times New Roman" w:hAnsi="Times New Roman"/>
                <w:sz w:val="22"/>
              </w:rPr>
              <w:t>Microcystin</w:t>
            </w:r>
            <w:proofErr w:type="spellEnd"/>
          </w:p>
        </w:tc>
        <w:tc>
          <w:tcPr>
            <w:tcW w:w="4410" w:type="dxa"/>
          </w:tcPr>
          <w:p w14:paraId="234304E4" w14:textId="36AC9EC5" w:rsidR="00B9570D" w:rsidRPr="00F55C15" w:rsidRDefault="00EA3C92" w:rsidP="009A3279">
            <w:pPr>
              <w:rPr>
                <w:rFonts w:ascii="Times New Roman" w:hAnsi="Times New Roman"/>
                <w:sz w:val="22"/>
              </w:rPr>
            </w:pPr>
            <w:r>
              <w:rPr>
                <w:rFonts w:ascii="Times New Roman" w:hAnsi="Times New Roman"/>
                <w:sz w:val="22"/>
              </w:rPr>
              <w:t>EPA 546 (ELISA)</w:t>
            </w:r>
          </w:p>
        </w:tc>
      </w:tr>
      <w:tr w:rsidR="00B9570D" w14:paraId="6B332AB6" w14:textId="5D1F517A" w:rsidTr="00D8056A">
        <w:trPr>
          <w:jc w:val="center"/>
        </w:trPr>
        <w:tc>
          <w:tcPr>
            <w:tcW w:w="867" w:type="dxa"/>
          </w:tcPr>
          <w:p w14:paraId="2A8373C2" w14:textId="2ECADD43" w:rsidR="00B9570D" w:rsidRPr="00F55C15" w:rsidRDefault="00B9570D" w:rsidP="00955F40">
            <w:pPr>
              <w:rPr>
                <w:rFonts w:ascii="Times New Roman" w:hAnsi="Times New Roman"/>
                <w:sz w:val="22"/>
              </w:rPr>
            </w:pPr>
            <w:r w:rsidRPr="00F55C15">
              <w:rPr>
                <w:rFonts w:ascii="Times New Roman" w:hAnsi="Times New Roman"/>
                <w:sz w:val="22"/>
              </w:rPr>
              <w:t>2</w:t>
            </w:r>
          </w:p>
        </w:tc>
        <w:tc>
          <w:tcPr>
            <w:tcW w:w="3448" w:type="dxa"/>
          </w:tcPr>
          <w:p w14:paraId="6C432F43" w14:textId="05CD811C" w:rsidR="00B9570D" w:rsidRDefault="00EA3C92" w:rsidP="009A3279">
            <w:pPr>
              <w:rPr>
                <w:rFonts w:ascii="Times New Roman" w:hAnsi="Times New Roman"/>
                <w:sz w:val="22"/>
              </w:rPr>
            </w:pPr>
            <w:proofErr w:type="spellStart"/>
            <w:r w:rsidRPr="00EA3C92">
              <w:rPr>
                <w:rFonts w:ascii="Times New Roman" w:hAnsi="Times New Roman"/>
                <w:sz w:val="22"/>
              </w:rPr>
              <w:t>Microcystin</w:t>
            </w:r>
            <w:proofErr w:type="spellEnd"/>
            <w:r w:rsidRPr="00EA3C92">
              <w:rPr>
                <w:rFonts w:ascii="Times New Roman" w:hAnsi="Times New Roman"/>
                <w:sz w:val="22"/>
              </w:rPr>
              <w:t xml:space="preserve"> Speciation</w:t>
            </w:r>
            <w:r w:rsidR="00C21C33">
              <w:rPr>
                <w:rFonts w:ascii="Times New Roman" w:hAnsi="Times New Roman"/>
                <w:sz w:val="22"/>
              </w:rPr>
              <w:t>- Including all of the following:</w:t>
            </w:r>
          </w:p>
          <w:p w14:paraId="47C873C4" w14:textId="77777777" w:rsidR="00EA3C92" w:rsidRDefault="00EA3C92" w:rsidP="00EA3C92">
            <w:pPr>
              <w:pStyle w:val="ListParagraph"/>
              <w:numPr>
                <w:ilvl w:val="0"/>
                <w:numId w:val="4"/>
              </w:numPr>
              <w:rPr>
                <w:rFonts w:ascii="Times New Roman" w:hAnsi="Times New Roman"/>
                <w:sz w:val="22"/>
              </w:rPr>
            </w:pPr>
            <w:proofErr w:type="spellStart"/>
            <w:r w:rsidRPr="00F55C15">
              <w:rPr>
                <w:rFonts w:ascii="Times New Roman" w:hAnsi="Times New Roman"/>
                <w:sz w:val="22"/>
              </w:rPr>
              <w:t>Microcystin</w:t>
            </w:r>
            <w:proofErr w:type="spellEnd"/>
            <w:r w:rsidRPr="00F55C15">
              <w:rPr>
                <w:rFonts w:ascii="Times New Roman" w:hAnsi="Times New Roman"/>
                <w:sz w:val="22"/>
              </w:rPr>
              <w:t>-LA</w:t>
            </w:r>
          </w:p>
          <w:p w14:paraId="206B5069" w14:textId="77777777" w:rsidR="00EA3C92" w:rsidRDefault="00EA3C92" w:rsidP="00EA3C92">
            <w:pPr>
              <w:pStyle w:val="ListParagraph"/>
              <w:numPr>
                <w:ilvl w:val="0"/>
                <w:numId w:val="4"/>
              </w:numPr>
              <w:rPr>
                <w:rFonts w:ascii="Times New Roman" w:hAnsi="Times New Roman"/>
                <w:sz w:val="22"/>
              </w:rPr>
            </w:pPr>
            <w:proofErr w:type="spellStart"/>
            <w:r w:rsidRPr="00F55C15">
              <w:rPr>
                <w:rFonts w:ascii="Times New Roman" w:hAnsi="Times New Roman"/>
                <w:sz w:val="22"/>
              </w:rPr>
              <w:t>Microcystin</w:t>
            </w:r>
            <w:proofErr w:type="spellEnd"/>
            <w:r w:rsidRPr="00F55C15">
              <w:rPr>
                <w:rFonts w:ascii="Times New Roman" w:hAnsi="Times New Roman"/>
                <w:sz w:val="22"/>
              </w:rPr>
              <w:t>-LF</w:t>
            </w:r>
          </w:p>
          <w:p w14:paraId="404DC3B7" w14:textId="77777777" w:rsidR="00EA3C92" w:rsidRDefault="00EA3C92" w:rsidP="00EA3C92">
            <w:pPr>
              <w:pStyle w:val="ListParagraph"/>
              <w:numPr>
                <w:ilvl w:val="0"/>
                <w:numId w:val="4"/>
              </w:numPr>
              <w:rPr>
                <w:rFonts w:ascii="Times New Roman" w:hAnsi="Times New Roman"/>
                <w:sz w:val="22"/>
              </w:rPr>
            </w:pPr>
            <w:proofErr w:type="spellStart"/>
            <w:r w:rsidRPr="00F55C15">
              <w:rPr>
                <w:rFonts w:ascii="Times New Roman" w:hAnsi="Times New Roman"/>
                <w:sz w:val="22"/>
              </w:rPr>
              <w:t>Microcystin</w:t>
            </w:r>
            <w:proofErr w:type="spellEnd"/>
            <w:r w:rsidRPr="00F55C15">
              <w:rPr>
                <w:rFonts w:ascii="Times New Roman" w:hAnsi="Times New Roman"/>
                <w:sz w:val="22"/>
              </w:rPr>
              <w:t>-LR</w:t>
            </w:r>
          </w:p>
          <w:p w14:paraId="12BF02C6" w14:textId="77777777" w:rsidR="00EA3C92" w:rsidRDefault="00EA3C92" w:rsidP="00EA3C92">
            <w:pPr>
              <w:pStyle w:val="ListParagraph"/>
              <w:numPr>
                <w:ilvl w:val="0"/>
                <w:numId w:val="4"/>
              </w:numPr>
              <w:rPr>
                <w:rFonts w:ascii="Times New Roman" w:hAnsi="Times New Roman"/>
                <w:sz w:val="22"/>
              </w:rPr>
            </w:pPr>
            <w:proofErr w:type="spellStart"/>
            <w:r w:rsidRPr="00F55C15">
              <w:rPr>
                <w:rFonts w:ascii="Times New Roman" w:hAnsi="Times New Roman"/>
                <w:sz w:val="22"/>
              </w:rPr>
              <w:t>Microcystin</w:t>
            </w:r>
            <w:proofErr w:type="spellEnd"/>
            <w:r w:rsidRPr="00F55C15">
              <w:rPr>
                <w:rFonts w:ascii="Times New Roman" w:hAnsi="Times New Roman"/>
                <w:sz w:val="22"/>
              </w:rPr>
              <w:t>-LY</w:t>
            </w:r>
          </w:p>
          <w:p w14:paraId="1AB8450C" w14:textId="77777777" w:rsidR="00EA3C92" w:rsidRDefault="00EA3C92" w:rsidP="00EA3C92">
            <w:pPr>
              <w:pStyle w:val="ListParagraph"/>
              <w:numPr>
                <w:ilvl w:val="0"/>
                <w:numId w:val="4"/>
              </w:numPr>
              <w:rPr>
                <w:rFonts w:ascii="Times New Roman" w:hAnsi="Times New Roman"/>
                <w:sz w:val="22"/>
              </w:rPr>
            </w:pPr>
            <w:proofErr w:type="spellStart"/>
            <w:r w:rsidRPr="00F55C15">
              <w:rPr>
                <w:rFonts w:ascii="Times New Roman" w:hAnsi="Times New Roman"/>
                <w:sz w:val="22"/>
              </w:rPr>
              <w:t>Microcystin</w:t>
            </w:r>
            <w:proofErr w:type="spellEnd"/>
            <w:r w:rsidRPr="00F55C15">
              <w:rPr>
                <w:rFonts w:ascii="Times New Roman" w:hAnsi="Times New Roman"/>
                <w:sz w:val="22"/>
              </w:rPr>
              <w:t>-</w:t>
            </w:r>
            <w:r>
              <w:rPr>
                <w:rFonts w:ascii="Times New Roman" w:hAnsi="Times New Roman"/>
                <w:sz w:val="22"/>
              </w:rPr>
              <w:t>RR</w:t>
            </w:r>
          </w:p>
          <w:p w14:paraId="0FFCAADA" w14:textId="0B1650C8" w:rsidR="00EA3C92" w:rsidRPr="00EA3C92" w:rsidRDefault="00EA3C92" w:rsidP="00EA3C92">
            <w:pPr>
              <w:pStyle w:val="ListParagraph"/>
              <w:numPr>
                <w:ilvl w:val="0"/>
                <w:numId w:val="4"/>
              </w:numPr>
              <w:rPr>
                <w:rFonts w:ascii="Times New Roman" w:hAnsi="Times New Roman"/>
                <w:sz w:val="22"/>
              </w:rPr>
            </w:pPr>
            <w:proofErr w:type="spellStart"/>
            <w:r w:rsidRPr="00F55C15">
              <w:rPr>
                <w:rFonts w:ascii="Times New Roman" w:hAnsi="Times New Roman"/>
                <w:sz w:val="22"/>
              </w:rPr>
              <w:t>Microcystin</w:t>
            </w:r>
            <w:proofErr w:type="spellEnd"/>
            <w:r w:rsidRPr="00F55C15">
              <w:rPr>
                <w:rFonts w:ascii="Times New Roman" w:hAnsi="Times New Roman"/>
                <w:sz w:val="22"/>
              </w:rPr>
              <w:t>-YR</w:t>
            </w:r>
          </w:p>
        </w:tc>
        <w:tc>
          <w:tcPr>
            <w:tcW w:w="4410" w:type="dxa"/>
          </w:tcPr>
          <w:p w14:paraId="1585AD6F" w14:textId="09053E3B" w:rsidR="00B9570D" w:rsidRPr="00F55C15" w:rsidRDefault="00EA3C92" w:rsidP="009A3279">
            <w:pPr>
              <w:rPr>
                <w:rFonts w:ascii="Times New Roman" w:hAnsi="Times New Roman"/>
                <w:sz w:val="22"/>
              </w:rPr>
            </w:pPr>
            <w:r>
              <w:rPr>
                <w:rFonts w:ascii="Times New Roman" w:hAnsi="Times New Roman"/>
                <w:sz w:val="22"/>
              </w:rPr>
              <w:t>EPA 544 or L231</w:t>
            </w:r>
          </w:p>
        </w:tc>
      </w:tr>
      <w:tr w:rsidR="00D8056A" w14:paraId="22F34FDB" w14:textId="77777777" w:rsidTr="00D8056A">
        <w:trPr>
          <w:jc w:val="center"/>
        </w:trPr>
        <w:tc>
          <w:tcPr>
            <w:tcW w:w="867" w:type="dxa"/>
          </w:tcPr>
          <w:p w14:paraId="1139FD08" w14:textId="366D9B73" w:rsidR="00D8056A" w:rsidRPr="00F55C15" w:rsidRDefault="00D8056A" w:rsidP="00D8056A">
            <w:pPr>
              <w:rPr>
                <w:rFonts w:ascii="Times New Roman" w:hAnsi="Times New Roman"/>
                <w:sz w:val="22"/>
              </w:rPr>
            </w:pPr>
            <w:r>
              <w:rPr>
                <w:rFonts w:ascii="Times New Roman" w:hAnsi="Times New Roman"/>
                <w:sz w:val="22"/>
              </w:rPr>
              <w:t>3</w:t>
            </w:r>
          </w:p>
        </w:tc>
        <w:tc>
          <w:tcPr>
            <w:tcW w:w="3448" w:type="dxa"/>
          </w:tcPr>
          <w:p w14:paraId="78ACE1F6" w14:textId="13A32D9E" w:rsidR="00D8056A" w:rsidRPr="00F55C15" w:rsidRDefault="00EA3C92" w:rsidP="00D8056A">
            <w:pPr>
              <w:rPr>
                <w:rFonts w:ascii="Times New Roman" w:hAnsi="Times New Roman"/>
                <w:sz w:val="22"/>
              </w:rPr>
            </w:pPr>
            <w:proofErr w:type="spellStart"/>
            <w:r w:rsidRPr="00EA3C92">
              <w:rPr>
                <w:rFonts w:ascii="Times New Roman" w:hAnsi="Times New Roman"/>
                <w:sz w:val="22"/>
              </w:rPr>
              <w:t>Anatoxin</w:t>
            </w:r>
            <w:proofErr w:type="spellEnd"/>
            <w:r w:rsidRPr="00EA3C92">
              <w:rPr>
                <w:rFonts w:ascii="Times New Roman" w:hAnsi="Times New Roman"/>
                <w:sz w:val="22"/>
              </w:rPr>
              <w:t xml:space="preserve">-a and </w:t>
            </w:r>
            <w:proofErr w:type="spellStart"/>
            <w:r w:rsidRPr="00EA3C92">
              <w:rPr>
                <w:rFonts w:ascii="Times New Roman" w:hAnsi="Times New Roman"/>
                <w:sz w:val="22"/>
              </w:rPr>
              <w:t>Cylindrospermopsin</w:t>
            </w:r>
            <w:proofErr w:type="spellEnd"/>
            <w:r w:rsidR="00D8056A" w:rsidRPr="00F55C15">
              <w:rPr>
                <w:rFonts w:ascii="Times New Roman" w:hAnsi="Times New Roman"/>
                <w:sz w:val="22"/>
              </w:rPr>
              <w:t xml:space="preserve"> </w:t>
            </w:r>
          </w:p>
        </w:tc>
        <w:tc>
          <w:tcPr>
            <w:tcW w:w="4410" w:type="dxa"/>
          </w:tcPr>
          <w:p w14:paraId="1B659434" w14:textId="3EB91CB3" w:rsidR="00D8056A" w:rsidRPr="00F55C15" w:rsidRDefault="00EA3C92" w:rsidP="00D8056A">
            <w:pPr>
              <w:rPr>
                <w:rFonts w:ascii="Times New Roman" w:hAnsi="Times New Roman"/>
                <w:sz w:val="22"/>
              </w:rPr>
            </w:pPr>
            <w:r>
              <w:rPr>
                <w:rFonts w:ascii="Times New Roman" w:hAnsi="Times New Roman"/>
                <w:sz w:val="22"/>
              </w:rPr>
              <w:t>EPA 545</w:t>
            </w:r>
          </w:p>
        </w:tc>
      </w:tr>
    </w:tbl>
    <w:p w14:paraId="1A03A90F" w14:textId="09EB86DC" w:rsidR="00C136AA" w:rsidRDefault="0015649A" w:rsidP="0015649A">
      <w:pPr>
        <w:spacing w:before="120" w:after="120"/>
        <w:jc w:val="both"/>
        <w:rPr>
          <w:rFonts w:ascii="Times New Roman" w:eastAsia="Times New Roman" w:hAnsi="Times New Roman" w:cs="Times New Roman"/>
          <w:color w:val="000000" w:themeColor="text1"/>
          <w:sz w:val="22"/>
        </w:rPr>
      </w:pPr>
      <w:r w:rsidRPr="00C136AA">
        <w:rPr>
          <w:rFonts w:ascii="Times New Roman" w:eastAsia="Times New Roman" w:hAnsi="Times New Roman" w:cs="Times New Roman"/>
          <w:color w:val="000000" w:themeColor="text1"/>
          <w:sz w:val="22"/>
        </w:rPr>
        <w:t>Vendor is not</w:t>
      </w:r>
      <w:r w:rsidR="00052285">
        <w:rPr>
          <w:rFonts w:ascii="Times New Roman" w:eastAsia="Times New Roman" w:hAnsi="Times New Roman" w:cs="Times New Roman"/>
          <w:color w:val="000000" w:themeColor="text1"/>
          <w:sz w:val="22"/>
        </w:rPr>
        <w:t xml:space="preserve"> responsible for collecting the water </w:t>
      </w:r>
      <w:r w:rsidRPr="00C136AA">
        <w:rPr>
          <w:rFonts w:ascii="Times New Roman" w:eastAsia="Times New Roman" w:hAnsi="Times New Roman" w:cs="Times New Roman"/>
          <w:color w:val="000000" w:themeColor="text1"/>
          <w:sz w:val="22"/>
        </w:rPr>
        <w:t>samples.</w:t>
      </w:r>
      <w:r w:rsidR="00C77F63">
        <w:rPr>
          <w:rFonts w:ascii="Times New Roman" w:eastAsia="Times New Roman" w:hAnsi="Times New Roman" w:cs="Times New Roman"/>
          <w:color w:val="000000" w:themeColor="text1"/>
          <w:sz w:val="22"/>
        </w:rPr>
        <w:t xml:space="preserve"> </w:t>
      </w:r>
      <w:r w:rsidR="005E35E8" w:rsidRPr="005E35E8">
        <w:rPr>
          <w:rFonts w:ascii="Times New Roman" w:hAnsi="Times New Roman"/>
          <w:b/>
          <w:color w:val="000000" w:themeColor="text1"/>
          <w:sz w:val="22"/>
        </w:rPr>
        <w:t>Vendor shall provide the sample bottles with any preservatives based on analytical method requirements.</w:t>
      </w:r>
      <w:r w:rsidR="005E35E8">
        <w:rPr>
          <w:rFonts w:ascii="Times New Roman" w:hAnsi="Times New Roman"/>
          <w:color w:val="000000" w:themeColor="text1"/>
          <w:sz w:val="22"/>
        </w:rPr>
        <w:t xml:space="preserve"> </w:t>
      </w:r>
      <w:r w:rsidRPr="00C77F63">
        <w:rPr>
          <w:rFonts w:ascii="Times New Roman" w:eastAsia="Times New Roman" w:hAnsi="Times New Roman" w:cs="Times New Roman"/>
          <w:b/>
          <w:color w:val="000000" w:themeColor="text1"/>
          <w:sz w:val="22"/>
        </w:rPr>
        <w:t xml:space="preserve"> </w:t>
      </w:r>
      <w:r w:rsidRPr="00C77F63">
        <w:rPr>
          <w:rFonts w:ascii="Times New Roman" w:eastAsia="Times New Roman" w:hAnsi="Times New Roman" w:cs="Times New Roman"/>
          <w:color w:val="000000" w:themeColor="text1"/>
          <w:sz w:val="22"/>
        </w:rPr>
        <w:t>LDH-SDWP</w:t>
      </w:r>
      <w:r w:rsidR="002B2C8C" w:rsidRPr="00C77F63">
        <w:rPr>
          <w:rFonts w:ascii="Times New Roman" w:eastAsia="Times New Roman" w:hAnsi="Times New Roman" w:cs="Times New Roman"/>
          <w:color w:val="000000" w:themeColor="text1"/>
          <w:sz w:val="22"/>
        </w:rPr>
        <w:t xml:space="preserve"> (or designee)</w:t>
      </w:r>
      <w:r w:rsidRPr="00C77F63">
        <w:rPr>
          <w:rFonts w:ascii="Times New Roman" w:eastAsia="Times New Roman" w:hAnsi="Times New Roman" w:cs="Times New Roman"/>
          <w:color w:val="000000" w:themeColor="text1"/>
          <w:sz w:val="22"/>
        </w:rPr>
        <w:t xml:space="preserve"> </w:t>
      </w:r>
      <w:r w:rsidR="00C136AA" w:rsidRPr="00C77F63">
        <w:rPr>
          <w:rFonts w:ascii="Times New Roman" w:eastAsia="Times New Roman" w:hAnsi="Times New Roman" w:cs="Times New Roman"/>
          <w:color w:val="000000" w:themeColor="text1"/>
          <w:sz w:val="22"/>
        </w:rPr>
        <w:t xml:space="preserve">are responsible for </w:t>
      </w:r>
      <w:r w:rsidRPr="00C77F63">
        <w:rPr>
          <w:rFonts w:ascii="Times New Roman" w:eastAsia="Times New Roman" w:hAnsi="Times New Roman" w:cs="Times New Roman"/>
          <w:color w:val="000000" w:themeColor="text1"/>
          <w:sz w:val="22"/>
        </w:rPr>
        <w:t xml:space="preserve">the sample </w:t>
      </w:r>
      <w:r w:rsidR="00BE465B" w:rsidRPr="00C77F63">
        <w:rPr>
          <w:rFonts w:ascii="Times New Roman" w:eastAsia="Times New Roman" w:hAnsi="Times New Roman" w:cs="Times New Roman"/>
          <w:color w:val="000000" w:themeColor="text1"/>
          <w:sz w:val="22"/>
        </w:rPr>
        <w:t>collectio</w:t>
      </w:r>
      <w:r w:rsidRPr="00C77F63">
        <w:rPr>
          <w:rFonts w:ascii="Times New Roman" w:eastAsia="Times New Roman" w:hAnsi="Times New Roman" w:cs="Times New Roman"/>
          <w:color w:val="000000" w:themeColor="text1"/>
          <w:sz w:val="22"/>
        </w:rPr>
        <w:t>n, packaging, and shipping to the laboratory</w:t>
      </w:r>
      <w:r w:rsidR="00C136AA" w:rsidRPr="00C77F63">
        <w:rPr>
          <w:rFonts w:ascii="Times New Roman" w:eastAsia="Times New Roman" w:hAnsi="Times New Roman" w:cs="Times New Roman"/>
          <w:color w:val="000000" w:themeColor="text1"/>
          <w:sz w:val="22"/>
        </w:rPr>
        <w:t>.</w:t>
      </w:r>
      <w:r w:rsidR="00C136AA" w:rsidRPr="00C136AA">
        <w:rPr>
          <w:rFonts w:ascii="Times New Roman" w:eastAsia="Times New Roman" w:hAnsi="Times New Roman" w:cs="Times New Roman"/>
          <w:color w:val="000000" w:themeColor="text1"/>
          <w:sz w:val="22"/>
        </w:rPr>
        <w:t xml:space="preserve"> </w:t>
      </w:r>
      <w:r>
        <w:rPr>
          <w:rFonts w:ascii="Times New Roman" w:eastAsia="Times New Roman" w:hAnsi="Times New Roman" w:cs="Times New Roman"/>
          <w:color w:val="000000" w:themeColor="text1"/>
          <w:sz w:val="22"/>
        </w:rPr>
        <w:t xml:space="preserve">The </w:t>
      </w:r>
      <w:r w:rsidR="00C136AA" w:rsidRPr="00C136AA">
        <w:rPr>
          <w:rFonts w:ascii="Times New Roman" w:eastAsia="Times New Roman" w:hAnsi="Times New Roman" w:cs="Times New Roman"/>
          <w:color w:val="000000" w:themeColor="text1"/>
          <w:sz w:val="22"/>
        </w:rPr>
        <w:t xml:space="preserve">samples </w:t>
      </w:r>
      <w:r>
        <w:rPr>
          <w:rFonts w:ascii="Times New Roman" w:eastAsia="Times New Roman" w:hAnsi="Times New Roman" w:cs="Times New Roman"/>
          <w:color w:val="000000" w:themeColor="text1"/>
          <w:sz w:val="22"/>
        </w:rPr>
        <w:t>will be shipped</w:t>
      </w:r>
      <w:r w:rsidR="00C136AA" w:rsidRPr="00C136AA">
        <w:rPr>
          <w:rFonts w:ascii="Times New Roman" w:eastAsia="Times New Roman" w:hAnsi="Times New Roman" w:cs="Times New Roman"/>
          <w:color w:val="000000" w:themeColor="text1"/>
          <w:sz w:val="22"/>
        </w:rPr>
        <w:t xml:space="preserve"> </w:t>
      </w:r>
      <w:r w:rsidR="00B613F6">
        <w:rPr>
          <w:rFonts w:ascii="Times New Roman" w:eastAsia="Times New Roman" w:hAnsi="Times New Roman" w:cs="Times New Roman"/>
          <w:color w:val="000000" w:themeColor="text1"/>
          <w:sz w:val="22"/>
        </w:rPr>
        <w:t>overnight</w:t>
      </w:r>
      <w:r w:rsidR="00B613F6" w:rsidRPr="00C136AA">
        <w:rPr>
          <w:rFonts w:ascii="Times New Roman" w:eastAsia="Times New Roman" w:hAnsi="Times New Roman" w:cs="Times New Roman"/>
          <w:color w:val="000000" w:themeColor="text1"/>
          <w:sz w:val="22"/>
        </w:rPr>
        <w:t xml:space="preserve"> </w:t>
      </w:r>
      <w:r w:rsidR="00C136AA" w:rsidRPr="00C136AA">
        <w:rPr>
          <w:rFonts w:ascii="Times New Roman" w:eastAsia="Times New Roman" w:hAnsi="Times New Roman" w:cs="Times New Roman"/>
          <w:color w:val="000000" w:themeColor="text1"/>
          <w:sz w:val="22"/>
        </w:rPr>
        <w:t xml:space="preserve">directly to the laboratory </w:t>
      </w:r>
      <w:r w:rsidR="00E46204">
        <w:rPr>
          <w:rFonts w:ascii="Times New Roman" w:eastAsia="Times New Roman" w:hAnsi="Times New Roman" w:cs="Times New Roman"/>
          <w:color w:val="000000" w:themeColor="text1"/>
          <w:sz w:val="22"/>
        </w:rPr>
        <w:t xml:space="preserve">for receipt </w:t>
      </w:r>
      <w:r w:rsidR="004B7348">
        <w:rPr>
          <w:rFonts w:ascii="Times New Roman" w:eastAsia="Times New Roman" w:hAnsi="Times New Roman" w:cs="Times New Roman"/>
          <w:color w:val="000000" w:themeColor="text1"/>
          <w:sz w:val="22"/>
        </w:rPr>
        <w:t xml:space="preserve">Monday through </w:t>
      </w:r>
      <w:r w:rsidR="0059238A">
        <w:rPr>
          <w:rFonts w:ascii="Times New Roman" w:eastAsia="Times New Roman" w:hAnsi="Times New Roman" w:cs="Times New Roman"/>
          <w:color w:val="000000" w:themeColor="text1"/>
          <w:sz w:val="22"/>
        </w:rPr>
        <w:t>Friday</w:t>
      </w:r>
      <w:r w:rsidR="00AB4EA5">
        <w:rPr>
          <w:rFonts w:ascii="Times New Roman" w:eastAsia="Times New Roman" w:hAnsi="Times New Roman" w:cs="Times New Roman"/>
          <w:color w:val="000000" w:themeColor="text1"/>
          <w:sz w:val="22"/>
        </w:rPr>
        <w:t xml:space="preserve">.  </w:t>
      </w:r>
      <w:r w:rsidR="005E35E8" w:rsidRPr="005E35E8">
        <w:rPr>
          <w:rFonts w:ascii="Times New Roman" w:hAnsi="Times New Roman"/>
          <w:color w:val="000000" w:themeColor="text1"/>
          <w:sz w:val="22"/>
        </w:rPr>
        <w:t>Vendor is responsible for returning/shipping all sample coolers received for this contract to the originator within 7 days of receipt. Vendor is responsible for all shipping costs associated with the return shipment of sample coolers to LDH-SDWP (or designee).</w:t>
      </w:r>
      <w:r w:rsidR="005E35E8">
        <w:rPr>
          <w:rFonts w:ascii="Times New Roman" w:hAnsi="Times New Roman"/>
          <w:color w:val="000000" w:themeColor="text1"/>
          <w:sz w:val="22"/>
        </w:rPr>
        <w:t xml:space="preserve">  Vendor must ship FOB Destination.</w:t>
      </w:r>
    </w:p>
    <w:p w14:paraId="479EAB0C" w14:textId="7AB39A61" w:rsidR="005A291B" w:rsidRDefault="006B412B" w:rsidP="006B7956">
      <w:pPr>
        <w:spacing w:before="120" w:after="120"/>
        <w:jc w:val="both"/>
        <w:rPr>
          <w:rFonts w:ascii="Times New Roman" w:hAnsi="Times New Roman"/>
          <w:color w:val="000000" w:themeColor="text1"/>
          <w:sz w:val="22"/>
        </w:rPr>
      </w:pPr>
      <w:r>
        <w:rPr>
          <w:rFonts w:ascii="Times New Roman" w:hAnsi="Times New Roman"/>
          <w:color w:val="000000" w:themeColor="text1"/>
          <w:sz w:val="22"/>
        </w:rPr>
        <w:t>V</w:t>
      </w:r>
      <w:r w:rsidR="00FA756D" w:rsidRPr="00636899">
        <w:rPr>
          <w:rFonts w:ascii="Times New Roman" w:hAnsi="Times New Roman"/>
          <w:color w:val="000000" w:themeColor="text1"/>
          <w:sz w:val="22"/>
        </w:rPr>
        <w:t xml:space="preserve">endor </w:t>
      </w:r>
      <w:r w:rsidR="00362E42">
        <w:rPr>
          <w:rFonts w:ascii="Times New Roman" w:hAnsi="Times New Roman"/>
          <w:color w:val="000000" w:themeColor="text1"/>
          <w:sz w:val="22"/>
        </w:rPr>
        <w:t>is</w:t>
      </w:r>
      <w:r w:rsidR="00FA756D" w:rsidRPr="00636899">
        <w:rPr>
          <w:rFonts w:ascii="Times New Roman" w:hAnsi="Times New Roman"/>
          <w:color w:val="000000" w:themeColor="text1"/>
          <w:sz w:val="22"/>
        </w:rPr>
        <w:t xml:space="preserve"> </w:t>
      </w:r>
      <w:r w:rsidR="00BE465B">
        <w:rPr>
          <w:rFonts w:ascii="Times New Roman" w:hAnsi="Times New Roman"/>
          <w:color w:val="000000" w:themeColor="text1"/>
          <w:sz w:val="22"/>
        </w:rPr>
        <w:t>responsible for the analysis of</w:t>
      </w:r>
      <w:r w:rsidR="00BE465B" w:rsidRPr="00636899">
        <w:rPr>
          <w:rFonts w:ascii="Times New Roman" w:hAnsi="Times New Roman"/>
          <w:color w:val="000000" w:themeColor="text1"/>
          <w:sz w:val="22"/>
        </w:rPr>
        <w:t xml:space="preserve"> </w:t>
      </w:r>
      <w:r w:rsidR="00FA756D" w:rsidRPr="00636899">
        <w:rPr>
          <w:rFonts w:ascii="Times New Roman" w:hAnsi="Times New Roman"/>
          <w:color w:val="000000" w:themeColor="text1"/>
          <w:sz w:val="22"/>
        </w:rPr>
        <w:t xml:space="preserve">drinking water </w:t>
      </w:r>
      <w:r w:rsidR="00C2685D">
        <w:rPr>
          <w:rFonts w:ascii="Times New Roman" w:hAnsi="Times New Roman"/>
          <w:color w:val="000000" w:themeColor="text1"/>
          <w:sz w:val="22"/>
        </w:rPr>
        <w:t xml:space="preserve">samples </w:t>
      </w:r>
      <w:r w:rsidR="00FA756D" w:rsidRPr="00636899">
        <w:rPr>
          <w:rFonts w:ascii="Times New Roman" w:hAnsi="Times New Roman"/>
          <w:color w:val="000000" w:themeColor="text1"/>
          <w:sz w:val="22"/>
        </w:rPr>
        <w:t>collected from public water</w:t>
      </w:r>
      <w:r w:rsidR="00FA756D">
        <w:rPr>
          <w:rFonts w:ascii="Times New Roman" w:hAnsi="Times New Roman"/>
          <w:color w:val="000000" w:themeColor="text1"/>
          <w:sz w:val="22"/>
        </w:rPr>
        <w:t xml:space="preserve"> s</w:t>
      </w:r>
      <w:r w:rsidR="00FA756D" w:rsidRPr="00636899">
        <w:rPr>
          <w:rFonts w:ascii="Times New Roman" w:hAnsi="Times New Roman"/>
          <w:color w:val="000000" w:themeColor="text1"/>
          <w:sz w:val="22"/>
        </w:rPr>
        <w:t xml:space="preserve">ystems throughout the </w:t>
      </w:r>
      <w:r w:rsidR="00FA756D">
        <w:rPr>
          <w:rFonts w:ascii="Times New Roman" w:hAnsi="Times New Roman"/>
          <w:color w:val="000000" w:themeColor="text1"/>
          <w:sz w:val="22"/>
        </w:rPr>
        <w:t>S</w:t>
      </w:r>
      <w:r w:rsidR="00FA756D" w:rsidRPr="00636899">
        <w:rPr>
          <w:rFonts w:ascii="Times New Roman" w:hAnsi="Times New Roman"/>
          <w:color w:val="000000" w:themeColor="text1"/>
          <w:sz w:val="22"/>
        </w:rPr>
        <w:t xml:space="preserve">tate of </w:t>
      </w:r>
      <w:r w:rsidR="00FA756D">
        <w:rPr>
          <w:rFonts w:ascii="Times New Roman" w:hAnsi="Times New Roman"/>
          <w:color w:val="000000" w:themeColor="text1"/>
          <w:sz w:val="22"/>
        </w:rPr>
        <w:t>L</w:t>
      </w:r>
      <w:r w:rsidR="00FA756D" w:rsidRPr="00636899">
        <w:rPr>
          <w:rFonts w:ascii="Times New Roman" w:hAnsi="Times New Roman"/>
          <w:color w:val="000000" w:themeColor="text1"/>
          <w:sz w:val="22"/>
        </w:rPr>
        <w:t xml:space="preserve">ouisiana. </w:t>
      </w:r>
      <w:r w:rsidR="00E1066C">
        <w:rPr>
          <w:rFonts w:ascii="Times New Roman" w:hAnsi="Times New Roman"/>
          <w:color w:val="000000" w:themeColor="text1"/>
          <w:sz w:val="22"/>
        </w:rPr>
        <w:t>Sample collection</w:t>
      </w:r>
      <w:r w:rsidR="00FA756D" w:rsidRPr="00636899">
        <w:rPr>
          <w:rFonts w:ascii="Times New Roman" w:hAnsi="Times New Roman"/>
          <w:color w:val="000000" w:themeColor="text1"/>
          <w:sz w:val="22"/>
        </w:rPr>
        <w:t xml:space="preserve"> </w:t>
      </w:r>
      <w:r w:rsidR="001E07A1">
        <w:rPr>
          <w:rFonts w:ascii="Times New Roman" w:hAnsi="Times New Roman"/>
          <w:color w:val="000000" w:themeColor="text1"/>
          <w:sz w:val="22"/>
        </w:rPr>
        <w:t xml:space="preserve">can </w:t>
      </w:r>
      <w:r w:rsidR="00FA756D" w:rsidRPr="00636899">
        <w:rPr>
          <w:rFonts w:ascii="Times New Roman" w:hAnsi="Times New Roman"/>
          <w:color w:val="000000" w:themeColor="text1"/>
          <w:sz w:val="22"/>
        </w:rPr>
        <w:t>occur every week, except</w:t>
      </w:r>
      <w:r w:rsidR="00FA756D">
        <w:rPr>
          <w:rFonts w:ascii="Times New Roman" w:hAnsi="Times New Roman"/>
          <w:color w:val="000000" w:themeColor="text1"/>
          <w:sz w:val="22"/>
        </w:rPr>
        <w:t xml:space="preserve"> t</w:t>
      </w:r>
      <w:r w:rsidR="00FA756D" w:rsidRPr="00636899">
        <w:rPr>
          <w:rFonts w:ascii="Times New Roman" w:hAnsi="Times New Roman"/>
          <w:color w:val="000000" w:themeColor="text1"/>
          <w:sz w:val="22"/>
        </w:rPr>
        <w:t xml:space="preserve">hose </w:t>
      </w:r>
      <w:r w:rsidR="00826A27">
        <w:rPr>
          <w:rFonts w:ascii="Times New Roman" w:hAnsi="Times New Roman"/>
          <w:color w:val="000000" w:themeColor="text1"/>
          <w:sz w:val="22"/>
        </w:rPr>
        <w:t xml:space="preserve">weeks </w:t>
      </w:r>
      <w:r w:rsidR="00FA756D" w:rsidRPr="00636899">
        <w:rPr>
          <w:rFonts w:ascii="Times New Roman" w:hAnsi="Times New Roman"/>
          <w:color w:val="000000" w:themeColor="text1"/>
          <w:sz w:val="22"/>
        </w:rPr>
        <w:t>with extended holidays.</w:t>
      </w:r>
      <w:r w:rsidR="00C2685D">
        <w:rPr>
          <w:rFonts w:ascii="Times New Roman" w:hAnsi="Times New Roman"/>
          <w:color w:val="000000" w:themeColor="text1"/>
          <w:sz w:val="22"/>
        </w:rPr>
        <w:t xml:space="preserve"> </w:t>
      </w:r>
      <w:proofErr w:type="spellStart"/>
      <w:r w:rsidR="00052285">
        <w:rPr>
          <w:rFonts w:ascii="Times New Roman" w:hAnsi="Times New Roman"/>
          <w:color w:val="000000" w:themeColor="text1"/>
          <w:sz w:val="22"/>
        </w:rPr>
        <w:t>Cyanotoxin</w:t>
      </w:r>
      <w:proofErr w:type="spellEnd"/>
      <w:r w:rsidR="00052285" w:rsidRPr="00052285">
        <w:rPr>
          <w:rFonts w:ascii="Times New Roman" w:hAnsi="Times New Roman"/>
          <w:color w:val="000000" w:themeColor="text1"/>
          <w:sz w:val="22"/>
        </w:rPr>
        <w:t xml:space="preserve"> sampling is prescribed when a severe harmful algal bloom (HAB) is identified in the source water (bayous/lakes) of the public water system. HABs typically occur during the warm water months.</w:t>
      </w:r>
      <w:r w:rsidR="006B7956">
        <w:rPr>
          <w:rFonts w:ascii="Times New Roman" w:hAnsi="Times New Roman"/>
          <w:color w:val="000000" w:themeColor="text1"/>
          <w:sz w:val="22"/>
        </w:rPr>
        <w:t xml:space="preserve"> </w:t>
      </w:r>
      <w:r w:rsidR="00F90ACB">
        <w:rPr>
          <w:rFonts w:ascii="Times New Roman" w:hAnsi="Times New Roman"/>
          <w:color w:val="000000" w:themeColor="text1"/>
          <w:sz w:val="22"/>
        </w:rPr>
        <w:t xml:space="preserve">Follow-up/confirmation samples </w:t>
      </w:r>
      <w:r w:rsidR="000F725C">
        <w:rPr>
          <w:rFonts w:ascii="Times New Roman" w:hAnsi="Times New Roman"/>
          <w:color w:val="000000" w:themeColor="text1"/>
          <w:sz w:val="22"/>
        </w:rPr>
        <w:t xml:space="preserve">are required </w:t>
      </w:r>
      <w:r w:rsidR="001C182F">
        <w:rPr>
          <w:rFonts w:ascii="Times New Roman" w:hAnsi="Times New Roman"/>
          <w:color w:val="000000" w:themeColor="text1"/>
          <w:sz w:val="22"/>
        </w:rPr>
        <w:t>when</w:t>
      </w:r>
      <w:r w:rsidR="000F725C">
        <w:rPr>
          <w:rFonts w:ascii="Times New Roman" w:hAnsi="Times New Roman"/>
          <w:color w:val="000000" w:themeColor="text1"/>
          <w:sz w:val="22"/>
        </w:rPr>
        <w:t xml:space="preserve"> </w:t>
      </w:r>
      <w:r w:rsidR="000F725C" w:rsidRPr="000F725C">
        <w:rPr>
          <w:rFonts w:ascii="Times New Roman" w:hAnsi="Times New Roman"/>
          <w:color w:val="000000" w:themeColor="text1"/>
          <w:sz w:val="22"/>
        </w:rPr>
        <w:t xml:space="preserve">detections exceed </w:t>
      </w:r>
      <w:r w:rsidR="00A83DED">
        <w:rPr>
          <w:rFonts w:ascii="Times New Roman" w:hAnsi="Times New Roman"/>
          <w:color w:val="000000" w:themeColor="text1"/>
          <w:sz w:val="22"/>
        </w:rPr>
        <w:t xml:space="preserve">a </w:t>
      </w:r>
      <w:r w:rsidR="001E07A1">
        <w:rPr>
          <w:rFonts w:ascii="Times New Roman" w:hAnsi="Times New Roman"/>
          <w:color w:val="000000" w:themeColor="text1"/>
          <w:sz w:val="22"/>
        </w:rPr>
        <w:t xml:space="preserve">detected </w:t>
      </w:r>
      <w:r w:rsidR="00A83DED">
        <w:rPr>
          <w:rFonts w:ascii="Times New Roman" w:hAnsi="Times New Roman"/>
          <w:color w:val="000000" w:themeColor="text1"/>
          <w:sz w:val="22"/>
        </w:rPr>
        <w:t>level</w:t>
      </w:r>
      <w:r w:rsidR="001E07A1">
        <w:rPr>
          <w:rFonts w:ascii="Times New Roman" w:hAnsi="Times New Roman"/>
          <w:color w:val="000000" w:themeColor="text1"/>
          <w:sz w:val="22"/>
        </w:rPr>
        <w:t>.</w:t>
      </w:r>
      <w:r w:rsidR="00052285">
        <w:rPr>
          <w:rFonts w:ascii="Times New Roman" w:hAnsi="Times New Roman"/>
          <w:color w:val="000000" w:themeColor="text1"/>
          <w:sz w:val="22"/>
        </w:rPr>
        <w:t xml:space="preserve"> </w:t>
      </w:r>
      <w:r w:rsidR="00252D75">
        <w:rPr>
          <w:rFonts w:ascii="Times New Roman" w:hAnsi="Times New Roman"/>
          <w:color w:val="000000" w:themeColor="text1"/>
          <w:sz w:val="22"/>
        </w:rPr>
        <w:t xml:space="preserve">Follow-up/confirmation includes all </w:t>
      </w:r>
      <w:r w:rsidR="00E92D47">
        <w:rPr>
          <w:rFonts w:ascii="Times New Roman" w:hAnsi="Times New Roman"/>
          <w:color w:val="000000" w:themeColor="text1"/>
          <w:sz w:val="22"/>
        </w:rPr>
        <w:t>parameters</w:t>
      </w:r>
      <w:r w:rsidR="00252D75">
        <w:rPr>
          <w:rFonts w:ascii="Times New Roman" w:hAnsi="Times New Roman"/>
          <w:color w:val="000000" w:themeColor="text1"/>
          <w:sz w:val="22"/>
        </w:rPr>
        <w:t>/methods listed in this solicitation.</w:t>
      </w:r>
      <w:r w:rsidR="005A291B">
        <w:rPr>
          <w:rFonts w:ascii="Times New Roman" w:hAnsi="Times New Roman"/>
          <w:color w:val="000000" w:themeColor="text1"/>
          <w:sz w:val="22"/>
        </w:rPr>
        <w:t xml:space="preserve"> </w:t>
      </w:r>
    </w:p>
    <w:p w14:paraId="5169D700" w14:textId="58A02CC1" w:rsidR="00C2685D" w:rsidRPr="00F55C15" w:rsidRDefault="00365605" w:rsidP="00052285">
      <w:pPr>
        <w:spacing w:before="120" w:after="120"/>
        <w:jc w:val="both"/>
        <w:rPr>
          <w:rFonts w:ascii="Times New Roman" w:hAnsi="Times New Roman"/>
          <w:sz w:val="22"/>
        </w:rPr>
      </w:pPr>
      <w:r w:rsidRPr="00F55C15">
        <w:rPr>
          <w:rFonts w:ascii="Times New Roman" w:hAnsi="Times New Roman"/>
          <w:sz w:val="22"/>
        </w:rPr>
        <w:t>Vendor shall perform and report a</w:t>
      </w:r>
      <w:r w:rsidR="005541D6" w:rsidRPr="00F55C15">
        <w:rPr>
          <w:rFonts w:ascii="Times New Roman" w:hAnsi="Times New Roman"/>
          <w:sz w:val="22"/>
        </w:rPr>
        <w:t xml:space="preserve">ll analyses </w:t>
      </w:r>
      <w:r w:rsidR="006B412B" w:rsidRPr="00F55C15">
        <w:rPr>
          <w:rFonts w:ascii="Times New Roman" w:hAnsi="Times New Roman"/>
          <w:sz w:val="22"/>
        </w:rPr>
        <w:t>with</w:t>
      </w:r>
      <w:r w:rsidR="005541D6" w:rsidRPr="00F55C15">
        <w:rPr>
          <w:rFonts w:ascii="Times New Roman" w:hAnsi="Times New Roman"/>
          <w:sz w:val="22"/>
        </w:rPr>
        <w:t xml:space="preserve"> </w:t>
      </w:r>
      <w:r w:rsidR="006B412B" w:rsidRPr="00F55C15">
        <w:rPr>
          <w:rFonts w:ascii="Times New Roman" w:hAnsi="Times New Roman"/>
          <w:sz w:val="22"/>
        </w:rPr>
        <w:t xml:space="preserve">a reporting limit that is less than or equal to the </w:t>
      </w:r>
      <w:r w:rsidR="005541D6" w:rsidRPr="00F55C15">
        <w:rPr>
          <w:rFonts w:ascii="Times New Roman" w:hAnsi="Times New Roman"/>
          <w:sz w:val="22"/>
        </w:rPr>
        <w:t>EPA</w:t>
      </w:r>
      <w:r w:rsidR="006B412B" w:rsidRPr="00F55C15">
        <w:rPr>
          <w:rFonts w:ascii="Times New Roman" w:hAnsi="Times New Roman"/>
          <w:sz w:val="22"/>
        </w:rPr>
        <w:t>’s</w:t>
      </w:r>
      <w:r w:rsidR="005541D6" w:rsidRPr="00F55C15">
        <w:rPr>
          <w:rFonts w:ascii="Times New Roman" w:hAnsi="Times New Roman"/>
          <w:sz w:val="22"/>
        </w:rPr>
        <w:t xml:space="preserve"> </w:t>
      </w:r>
      <w:r w:rsidR="006B7956">
        <w:rPr>
          <w:rFonts w:ascii="Times New Roman" w:hAnsi="Times New Roman"/>
          <w:sz w:val="22"/>
        </w:rPr>
        <w:t>minimum reporting level (MDL)</w:t>
      </w:r>
      <w:r w:rsidR="005541D6" w:rsidRPr="00F55C15">
        <w:rPr>
          <w:rFonts w:ascii="Times New Roman" w:hAnsi="Times New Roman"/>
          <w:sz w:val="22"/>
        </w:rPr>
        <w:t xml:space="preserve"> </w:t>
      </w:r>
      <w:r w:rsidR="006B7956">
        <w:rPr>
          <w:rFonts w:ascii="Times New Roman" w:hAnsi="Times New Roman"/>
          <w:sz w:val="22"/>
        </w:rPr>
        <w:t xml:space="preserve">per UCMR4 </w:t>
      </w:r>
      <w:r w:rsidR="0059238A" w:rsidRPr="00F55C15">
        <w:rPr>
          <w:rFonts w:ascii="Times New Roman" w:hAnsi="Times New Roman"/>
          <w:sz w:val="22"/>
        </w:rPr>
        <w:t>or approved by LDH</w:t>
      </w:r>
      <w:r w:rsidR="00E05161">
        <w:rPr>
          <w:rFonts w:ascii="Times New Roman" w:hAnsi="Times New Roman"/>
          <w:sz w:val="22"/>
        </w:rPr>
        <w:t>.</w:t>
      </w:r>
    </w:p>
    <w:p w14:paraId="2307C79C" w14:textId="0E9F2D1B" w:rsidR="00D76062" w:rsidRPr="00FD2E01" w:rsidRDefault="006B7956" w:rsidP="006B7956">
      <w:pPr>
        <w:spacing w:before="120" w:after="120"/>
        <w:jc w:val="both"/>
        <w:rPr>
          <w:rFonts w:ascii="Times New Roman" w:hAnsi="Times New Roman"/>
          <w:color w:val="FF0000"/>
          <w:sz w:val="22"/>
        </w:rPr>
      </w:pPr>
      <w:r>
        <w:rPr>
          <w:rFonts w:ascii="Times New Roman" w:hAnsi="Times New Roman"/>
          <w:color w:val="000000" w:themeColor="text1"/>
          <w:sz w:val="22"/>
        </w:rPr>
        <w:t>V</w:t>
      </w:r>
      <w:r w:rsidR="00642BC0">
        <w:rPr>
          <w:rFonts w:ascii="Times New Roman" w:hAnsi="Times New Roman"/>
          <w:color w:val="000000" w:themeColor="text1"/>
          <w:sz w:val="22"/>
        </w:rPr>
        <w:t>endor shall initiate analysis</w:t>
      </w:r>
      <w:r w:rsidR="00AC724B">
        <w:rPr>
          <w:rFonts w:ascii="Times New Roman" w:hAnsi="Times New Roman"/>
          <w:color w:val="000000" w:themeColor="text1"/>
          <w:sz w:val="22"/>
        </w:rPr>
        <w:t xml:space="preserve"> </w:t>
      </w:r>
      <w:r w:rsidR="009C26C6">
        <w:rPr>
          <w:rFonts w:ascii="Times New Roman" w:hAnsi="Times New Roman"/>
          <w:color w:val="000000" w:themeColor="text1"/>
          <w:sz w:val="22"/>
        </w:rPr>
        <w:t>within the sample</w:t>
      </w:r>
      <w:r w:rsidR="004663A8">
        <w:rPr>
          <w:rFonts w:ascii="Times New Roman" w:hAnsi="Times New Roman"/>
          <w:color w:val="000000" w:themeColor="text1"/>
          <w:sz w:val="22"/>
        </w:rPr>
        <w:t xml:space="preserve"> hold time</w:t>
      </w:r>
      <w:r w:rsidR="009C26C6">
        <w:rPr>
          <w:rFonts w:ascii="Times New Roman" w:hAnsi="Times New Roman"/>
          <w:color w:val="000000" w:themeColor="text1"/>
          <w:sz w:val="22"/>
        </w:rPr>
        <w:t xml:space="preserve"> </w:t>
      </w:r>
      <w:r w:rsidR="003D48A7">
        <w:rPr>
          <w:rFonts w:ascii="Times New Roman" w:hAnsi="Times New Roman"/>
          <w:color w:val="000000" w:themeColor="text1"/>
          <w:sz w:val="22"/>
        </w:rPr>
        <w:t>but</w:t>
      </w:r>
      <w:r w:rsidR="005518B2">
        <w:rPr>
          <w:rFonts w:ascii="Times New Roman" w:hAnsi="Times New Roman"/>
          <w:color w:val="000000" w:themeColor="text1"/>
          <w:sz w:val="22"/>
        </w:rPr>
        <w:t xml:space="preserve"> </w:t>
      </w:r>
      <w:r w:rsidR="009C26C6">
        <w:rPr>
          <w:rFonts w:ascii="Times New Roman" w:hAnsi="Times New Roman"/>
          <w:color w:val="000000" w:themeColor="text1"/>
          <w:sz w:val="22"/>
        </w:rPr>
        <w:t xml:space="preserve">no </w:t>
      </w:r>
      <w:r w:rsidR="00AC724B">
        <w:rPr>
          <w:rFonts w:ascii="Times New Roman" w:hAnsi="Times New Roman"/>
          <w:color w:val="000000" w:themeColor="text1"/>
          <w:sz w:val="22"/>
        </w:rPr>
        <w:t xml:space="preserve">later than </w:t>
      </w:r>
      <w:r w:rsidRPr="000A3686">
        <w:rPr>
          <w:rFonts w:ascii="Times New Roman" w:hAnsi="Times New Roman"/>
          <w:b/>
          <w:color w:val="000000" w:themeColor="text1"/>
          <w:sz w:val="22"/>
        </w:rPr>
        <w:t>3</w:t>
      </w:r>
      <w:r w:rsidR="00AC724B" w:rsidRPr="000A3686">
        <w:rPr>
          <w:rFonts w:ascii="Times New Roman" w:hAnsi="Times New Roman"/>
          <w:b/>
          <w:color w:val="000000" w:themeColor="text1"/>
          <w:sz w:val="22"/>
        </w:rPr>
        <w:t xml:space="preserve"> </w:t>
      </w:r>
      <w:r w:rsidR="00120C45" w:rsidRPr="000A3686">
        <w:rPr>
          <w:rFonts w:ascii="Times New Roman" w:hAnsi="Times New Roman"/>
          <w:b/>
          <w:color w:val="000000" w:themeColor="text1"/>
          <w:sz w:val="22"/>
        </w:rPr>
        <w:t xml:space="preserve">business </w:t>
      </w:r>
      <w:r w:rsidR="00AC724B" w:rsidRPr="000A3686">
        <w:rPr>
          <w:rFonts w:ascii="Times New Roman" w:hAnsi="Times New Roman"/>
          <w:b/>
          <w:color w:val="000000" w:themeColor="text1"/>
          <w:sz w:val="22"/>
        </w:rPr>
        <w:t>days</w:t>
      </w:r>
      <w:r w:rsidR="00AC724B">
        <w:rPr>
          <w:rFonts w:ascii="Times New Roman" w:hAnsi="Times New Roman"/>
          <w:color w:val="000000" w:themeColor="text1"/>
          <w:sz w:val="22"/>
        </w:rPr>
        <w:t xml:space="preserve"> from sample receipt.</w:t>
      </w:r>
      <w:r w:rsidR="009C26C6">
        <w:rPr>
          <w:rFonts w:ascii="Times New Roman" w:hAnsi="Times New Roman"/>
          <w:color w:val="000000" w:themeColor="text1"/>
          <w:sz w:val="22"/>
        </w:rPr>
        <w:t xml:space="preserve"> </w:t>
      </w:r>
      <w:r w:rsidR="00642BC0">
        <w:rPr>
          <w:rFonts w:ascii="Times New Roman" w:hAnsi="Times New Roman"/>
          <w:color w:val="000000" w:themeColor="text1"/>
          <w:sz w:val="22"/>
        </w:rPr>
        <w:t>Vendor shall provide f</w:t>
      </w:r>
      <w:r w:rsidR="003D48A7" w:rsidRPr="003D48A7">
        <w:rPr>
          <w:rFonts w:ascii="Times New Roman" w:hAnsi="Times New Roman"/>
          <w:color w:val="000000" w:themeColor="text1"/>
          <w:sz w:val="22"/>
        </w:rPr>
        <w:t xml:space="preserve">inal </w:t>
      </w:r>
      <w:r w:rsidR="000A3686">
        <w:rPr>
          <w:rFonts w:ascii="Times New Roman" w:hAnsi="Times New Roman"/>
          <w:color w:val="000000" w:themeColor="text1"/>
          <w:sz w:val="22"/>
        </w:rPr>
        <w:t xml:space="preserve">analytical reports </w:t>
      </w:r>
      <w:r>
        <w:rPr>
          <w:rFonts w:ascii="Times New Roman" w:hAnsi="Times New Roman"/>
          <w:color w:val="000000" w:themeColor="text1"/>
          <w:sz w:val="22"/>
        </w:rPr>
        <w:t>to LDH-</w:t>
      </w:r>
      <w:r w:rsidR="003D48A7" w:rsidRPr="003D48A7">
        <w:rPr>
          <w:rFonts w:ascii="Times New Roman" w:hAnsi="Times New Roman"/>
          <w:color w:val="000000" w:themeColor="text1"/>
          <w:sz w:val="22"/>
        </w:rPr>
        <w:t xml:space="preserve">SDWP </w:t>
      </w:r>
      <w:r w:rsidR="000A3686" w:rsidRPr="000A3686">
        <w:rPr>
          <w:rFonts w:ascii="Times New Roman" w:hAnsi="Times New Roman"/>
          <w:color w:val="000000" w:themeColor="text1"/>
          <w:sz w:val="22"/>
        </w:rPr>
        <w:t xml:space="preserve">via email to </w:t>
      </w:r>
      <w:hyperlink r:id="rId8" w:history="1">
        <w:r w:rsidR="000A3686" w:rsidRPr="00296FF7">
          <w:rPr>
            <w:rStyle w:val="Hyperlink"/>
            <w:rFonts w:ascii="Times New Roman" w:hAnsi="Times New Roman"/>
            <w:sz w:val="22"/>
          </w:rPr>
          <w:t>ChemSafe.Water@LA.GOV</w:t>
        </w:r>
      </w:hyperlink>
      <w:r w:rsidR="000A3686">
        <w:rPr>
          <w:rFonts w:ascii="Times New Roman" w:hAnsi="Times New Roman"/>
          <w:color w:val="000000" w:themeColor="text1"/>
          <w:sz w:val="22"/>
        </w:rPr>
        <w:t xml:space="preserve"> </w:t>
      </w:r>
      <w:r w:rsidR="003D48A7" w:rsidRPr="003D48A7">
        <w:rPr>
          <w:rFonts w:ascii="Times New Roman" w:hAnsi="Times New Roman"/>
          <w:color w:val="000000" w:themeColor="text1"/>
          <w:sz w:val="22"/>
        </w:rPr>
        <w:t xml:space="preserve">within </w:t>
      </w:r>
      <w:r w:rsidR="003D48A7" w:rsidRPr="00044243">
        <w:rPr>
          <w:rFonts w:ascii="Times New Roman" w:hAnsi="Times New Roman"/>
          <w:b/>
          <w:color w:val="000000" w:themeColor="text1"/>
          <w:sz w:val="22"/>
        </w:rPr>
        <w:t>10 business days</w:t>
      </w:r>
      <w:r w:rsidR="003D48A7" w:rsidRPr="003D48A7">
        <w:rPr>
          <w:rFonts w:ascii="Times New Roman" w:hAnsi="Times New Roman"/>
          <w:color w:val="000000" w:themeColor="text1"/>
          <w:sz w:val="22"/>
        </w:rPr>
        <w:t xml:space="preserve"> f</w:t>
      </w:r>
      <w:r w:rsidR="00DD2929">
        <w:rPr>
          <w:rFonts w:ascii="Times New Roman" w:hAnsi="Times New Roman"/>
          <w:color w:val="000000" w:themeColor="text1"/>
          <w:sz w:val="22"/>
        </w:rPr>
        <w:t xml:space="preserve">rom </w:t>
      </w:r>
      <w:r>
        <w:rPr>
          <w:rFonts w:ascii="Times New Roman" w:hAnsi="Times New Roman"/>
          <w:color w:val="000000" w:themeColor="text1"/>
          <w:sz w:val="22"/>
        </w:rPr>
        <w:t>receipt</w:t>
      </w:r>
      <w:r w:rsidR="00995D62">
        <w:rPr>
          <w:rFonts w:ascii="Times New Roman" w:hAnsi="Times New Roman"/>
          <w:color w:val="000000" w:themeColor="text1"/>
          <w:sz w:val="22"/>
        </w:rPr>
        <w:t xml:space="preserve"> of samples</w:t>
      </w:r>
      <w:r w:rsidR="003D48A7">
        <w:rPr>
          <w:rFonts w:ascii="Times New Roman" w:hAnsi="Times New Roman"/>
          <w:color w:val="000000" w:themeColor="text1"/>
          <w:sz w:val="22"/>
        </w:rPr>
        <w:t>.</w:t>
      </w:r>
      <w:r w:rsidR="000A3686">
        <w:rPr>
          <w:rFonts w:ascii="Times New Roman" w:hAnsi="Times New Roman"/>
          <w:color w:val="000000" w:themeColor="text1"/>
          <w:sz w:val="22"/>
        </w:rPr>
        <w:t xml:space="preserve"> </w:t>
      </w:r>
      <w:r w:rsidR="00E42003" w:rsidRPr="006B7956">
        <w:rPr>
          <w:rFonts w:ascii="Times New Roman" w:hAnsi="Times New Roman"/>
          <w:color w:val="000000" w:themeColor="text1"/>
          <w:sz w:val="22"/>
        </w:rPr>
        <w:t>Vendor shall report a</w:t>
      </w:r>
      <w:r w:rsidR="00E67282" w:rsidRPr="006B7956">
        <w:rPr>
          <w:rFonts w:ascii="Times New Roman" w:hAnsi="Times New Roman"/>
          <w:color w:val="000000" w:themeColor="text1"/>
          <w:sz w:val="22"/>
        </w:rPr>
        <w:t xml:space="preserve">ny </w:t>
      </w:r>
      <w:r w:rsidR="000A3686">
        <w:rPr>
          <w:rFonts w:ascii="Times New Roman" w:hAnsi="Times New Roman"/>
          <w:color w:val="000000" w:themeColor="text1"/>
          <w:sz w:val="22"/>
        </w:rPr>
        <w:t>final</w:t>
      </w:r>
      <w:r w:rsidR="001D601C" w:rsidRPr="006B7956">
        <w:rPr>
          <w:rFonts w:ascii="Times New Roman" w:hAnsi="Times New Roman"/>
          <w:color w:val="000000" w:themeColor="text1"/>
          <w:sz w:val="22"/>
        </w:rPr>
        <w:t xml:space="preserve"> </w:t>
      </w:r>
      <w:r w:rsidR="00E67282" w:rsidRPr="006B7956">
        <w:rPr>
          <w:rFonts w:ascii="Times New Roman" w:hAnsi="Times New Roman"/>
          <w:color w:val="000000" w:themeColor="text1"/>
          <w:sz w:val="22"/>
        </w:rPr>
        <w:t>analytical result that is above the</w:t>
      </w:r>
      <w:r w:rsidR="0059238A" w:rsidRPr="006B7956">
        <w:rPr>
          <w:rFonts w:ascii="Times New Roman" w:hAnsi="Times New Roman"/>
          <w:color w:val="000000" w:themeColor="text1"/>
          <w:sz w:val="22"/>
        </w:rPr>
        <w:t xml:space="preserve"> </w:t>
      </w:r>
      <w:r w:rsidR="00E05161">
        <w:rPr>
          <w:rFonts w:ascii="Times New Roman" w:hAnsi="Times New Roman"/>
          <w:color w:val="000000" w:themeColor="text1"/>
          <w:sz w:val="22"/>
        </w:rPr>
        <w:t>MDL</w:t>
      </w:r>
      <w:r w:rsidR="006D4535" w:rsidRPr="006B7956">
        <w:rPr>
          <w:rFonts w:ascii="Times New Roman" w:hAnsi="Times New Roman"/>
          <w:color w:val="000000" w:themeColor="text1"/>
          <w:sz w:val="22"/>
        </w:rPr>
        <w:t xml:space="preserve"> </w:t>
      </w:r>
      <w:r w:rsidR="00E67282" w:rsidRPr="006B7956">
        <w:rPr>
          <w:rFonts w:ascii="Times New Roman" w:hAnsi="Times New Roman"/>
          <w:color w:val="000000" w:themeColor="text1"/>
          <w:sz w:val="22"/>
        </w:rPr>
        <w:t xml:space="preserve">for </w:t>
      </w:r>
      <w:r w:rsidR="00995D62">
        <w:rPr>
          <w:rFonts w:ascii="Times New Roman" w:hAnsi="Times New Roman"/>
          <w:color w:val="000000" w:themeColor="text1"/>
          <w:sz w:val="22"/>
        </w:rPr>
        <w:t>the parameter</w:t>
      </w:r>
      <w:r w:rsidR="00F55C15" w:rsidRPr="00F55C15">
        <w:rPr>
          <w:rFonts w:ascii="Times New Roman" w:hAnsi="Times New Roman"/>
          <w:sz w:val="22"/>
        </w:rPr>
        <w:t xml:space="preserve"> </w:t>
      </w:r>
      <w:r w:rsidR="00E42003" w:rsidRPr="00F55C15">
        <w:rPr>
          <w:rFonts w:ascii="Times New Roman" w:hAnsi="Times New Roman"/>
          <w:sz w:val="22"/>
        </w:rPr>
        <w:t xml:space="preserve">within </w:t>
      </w:r>
      <w:r w:rsidR="00E42003" w:rsidRPr="00365605">
        <w:rPr>
          <w:rFonts w:ascii="Times New Roman" w:hAnsi="Times New Roman"/>
          <w:b/>
          <w:color w:val="000000" w:themeColor="text1"/>
          <w:sz w:val="22"/>
        </w:rPr>
        <w:t>24 hours</w:t>
      </w:r>
      <w:r w:rsidR="00E42003" w:rsidRPr="00636899">
        <w:rPr>
          <w:rFonts w:ascii="Times New Roman" w:hAnsi="Times New Roman"/>
          <w:color w:val="000000" w:themeColor="text1"/>
          <w:sz w:val="22"/>
        </w:rPr>
        <w:t xml:space="preserve"> to the </w:t>
      </w:r>
      <w:r w:rsidR="00E05161">
        <w:rPr>
          <w:rFonts w:ascii="Times New Roman" w:hAnsi="Times New Roman"/>
          <w:color w:val="000000" w:themeColor="text1"/>
          <w:sz w:val="22"/>
        </w:rPr>
        <w:t>LDH-</w:t>
      </w:r>
      <w:r w:rsidR="00E42003">
        <w:rPr>
          <w:rFonts w:ascii="Times New Roman" w:hAnsi="Times New Roman"/>
          <w:color w:val="000000" w:themeColor="text1"/>
          <w:sz w:val="22"/>
        </w:rPr>
        <w:t xml:space="preserve">SDWP via email to </w:t>
      </w:r>
      <w:hyperlink r:id="rId9" w:history="1">
        <w:r w:rsidR="00E42003" w:rsidRPr="00F7034E">
          <w:rPr>
            <w:rStyle w:val="Hyperlink"/>
            <w:rFonts w:ascii="Times New Roman" w:hAnsi="Times New Roman" w:cs="Times New Roman"/>
            <w:sz w:val="22"/>
          </w:rPr>
          <w:t>ChemSafe.Water@LA.GOV</w:t>
        </w:r>
      </w:hyperlink>
      <w:r w:rsidR="00E67282" w:rsidRPr="00636899">
        <w:rPr>
          <w:rFonts w:ascii="Times New Roman" w:hAnsi="Times New Roman"/>
          <w:color w:val="000000" w:themeColor="text1"/>
          <w:sz w:val="22"/>
        </w:rPr>
        <w:t>.</w:t>
      </w:r>
      <w:r w:rsidR="00D76062">
        <w:rPr>
          <w:rFonts w:ascii="Times New Roman" w:hAnsi="Times New Roman"/>
          <w:color w:val="000000" w:themeColor="text1"/>
          <w:sz w:val="22"/>
        </w:rPr>
        <w:t xml:space="preserve"> </w:t>
      </w:r>
      <w:r w:rsidR="00DD2117">
        <w:rPr>
          <w:rFonts w:ascii="Times New Roman" w:hAnsi="Times New Roman"/>
          <w:color w:val="000000" w:themeColor="text1"/>
          <w:sz w:val="22"/>
        </w:rPr>
        <w:t xml:space="preserve">The 24 hours begins </w:t>
      </w:r>
      <w:r w:rsidR="00D76062" w:rsidRPr="00D76062">
        <w:rPr>
          <w:rFonts w:ascii="Times New Roman" w:hAnsi="Times New Roman"/>
          <w:color w:val="000000" w:themeColor="text1"/>
          <w:sz w:val="22"/>
        </w:rPr>
        <w:t>when the results are finalized (</w:t>
      </w:r>
      <w:r w:rsidR="00D76062" w:rsidRPr="00415FD6">
        <w:rPr>
          <w:rFonts w:ascii="Times New Roman" w:hAnsi="Times New Roman"/>
          <w:i/>
          <w:color w:val="000000" w:themeColor="text1"/>
          <w:sz w:val="22"/>
        </w:rPr>
        <w:t>i.e</w:t>
      </w:r>
      <w:r w:rsidR="00D76062">
        <w:rPr>
          <w:rFonts w:ascii="Times New Roman" w:hAnsi="Times New Roman"/>
          <w:color w:val="000000" w:themeColor="text1"/>
          <w:sz w:val="22"/>
        </w:rPr>
        <w:t xml:space="preserve">., </w:t>
      </w:r>
      <w:r w:rsidR="00D76062" w:rsidRPr="00D76062">
        <w:rPr>
          <w:rFonts w:ascii="Times New Roman" w:hAnsi="Times New Roman"/>
          <w:color w:val="000000" w:themeColor="text1"/>
          <w:sz w:val="22"/>
        </w:rPr>
        <w:t xml:space="preserve">result is </w:t>
      </w:r>
      <w:r w:rsidR="000A3686">
        <w:rPr>
          <w:rFonts w:ascii="Times New Roman" w:hAnsi="Times New Roman"/>
          <w:color w:val="000000" w:themeColor="text1"/>
          <w:sz w:val="22"/>
        </w:rPr>
        <w:t>verified</w:t>
      </w:r>
      <w:r w:rsidR="00D76062" w:rsidRPr="00D76062">
        <w:rPr>
          <w:rFonts w:ascii="Times New Roman" w:hAnsi="Times New Roman"/>
          <w:color w:val="000000" w:themeColor="text1"/>
          <w:sz w:val="22"/>
        </w:rPr>
        <w:t xml:space="preserve"> and QA/QC is complete).</w:t>
      </w:r>
    </w:p>
    <w:p w14:paraId="3799D87E" w14:textId="36F9C951" w:rsidR="00995D62" w:rsidRDefault="00D76062" w:rsidP="00995D62">
      <w:pPr>
        <w:spacing w:before="120" w:after="120"/>
        <w:jc w:val="both"/>
        <w:rPr>
          <w:rFonts w:ascii="Times New Roman" w:hAnsi="Times New Roman"/>
          <w:color w:val="000000" w:themeColor="text1"/>
          <w:sz w:val="22"/>
        </w:rPr>
      </w:pPr>
      <w:r>
        <w:rPr>
          <w:rFonts w:ascii="Times New Roman" w:hAnsi="Times New Roman"/>
          <w:color w:val="000000" w:themeColor="text1"/>
          <w:sz w:val="22"/>
        </w:rPr>
        <w:t xml:space="preserve">At a minimum, </w:t>
      </w:r>
      <w:r w:rsidR="00E92D47">
        <w:rPr>
          <w:rFonts w:ascii="Times New Roman" w:hAnsi="Times New Roman"/>
          <w:color w:val="000000" w:themeColor="text1"/>
          <w:sz w:val="22"/>
        </w:rPr>
        <w:t xml:space="preserve">vendor’s final analytical </w:t>
      </w:r>
      <w:r w:rsidRPr="00BC4BC6">
        <w:rPr>
          <w:rFonts w:ascii="Times New Roman" w:hAnsi="Times New Roman"/>
          <w:color w:val="000000" w:themeColor="text1"/>
          <w:sz w:val="22"/>
        </w:rPr>
        <w:t xml:space="preserve">reports </w:t>
      </w:r>
      <w:r>
        <w:rPr>
          <w:rFonts w:ascii="Times New Roman" w:hAnsi="Times New Roman"/>
          <w:color w:val="000000" w:themeColor="text1"/>
          <w:sz w:val="22"/>
        </w:rPr>
        <w:t xml:space="preserve">shall meet Level </w:t>
      </w:r>
      <w:r w:rsidR="009C0BFC">
        <w:rPr>
          <w:rFonts w:ascii="Times New Roman" w:hAnsi="Times New Roman"/>
          <w:color w:val="000000" w:themeColor="text1"/>
          <w:sz w:val="22"/>
        </w:rPr>
        <w:t>II</w:t>
      </w:r>
      <w:r>
        <w:rPr>
          <w:rFonts w:ascii="Times New Roman" w:hAnsi="Times New Roman"/>
          <w:color w:val="000000" w:themeColor="text1"/>
          <w:sz w:val="22"/>
        </w:rPr>
        <w:t xml:space="preserve"> Reporting consisting of</w:t>
      </w:r>
      <w:r w:rsidRPr="00BC4BC6">
        <w:rPr>
          <w:rFonts w:ascii="Times New Roman" w:hAnsi="Times New Roman"/>
          <w:color w:val="000000" w:themeColor="text1"/>
          <w:sz w:val="22"/>
        </w:rPr>
        <w:t xml:space="preserve"> sample analys</w:t>
      </w:r>
      <w:r>
        <w:rPr>
          <w:rFonts w:ascii="Times New Roman" w:hAnsi="Times New Roman"/>
          <w:color w:val="000000" w:themeColor="text1"/>
          <w:sz w:val="22"/>
        </w:rPr>
        <w:t>i</w:t>
      </w:r>
      <w:r w:rsidRPr="00BC4BC6">
        <w:rPr>
          <w:rFonts w:ascii="Times New Roman" w:hAnsi="Times New Roman"/>
          <w:color w:val="000000" w:themeColor="text1"/>
          <w:sz w:val="22"/>
        </w:rPr>
        <w:t>s results, analytical methods, detection limits</w:t>
      </w:r>
      <w:r>
        <w:rPr>
          <w:rFonts w:ascii="Times New Roman" w:hAnsi="Times New Roman"/>
          <w:color w:val="000000" w:themeColor="text1"/>
          <w:sz w:val="22"/>
        </w:rPr>
        <w:t>,</w:t>
      </w:r>
      <w:r w:rsidRPr="00BC4BC6">
        <w:rPr>
          <w:rFonts w:ascii="Times New Roman" w:hAnsi="Times New Roman"/>
          <w:color w:val="000000" w:themeColor="text1"/>
          <w:sz w:val="22"/>
        </w:rPr>
        <w:t xml:space="preserve"> </w:t>
      </w:r>
      <w:r>
        <w:rPr>
          <w:rFonts w:ascii="Times New Roman" w:hAnsi="Times New Roman"/>
          <w:color w:val="000000" w:themeColor="text1"/>
          <w:sz w:val="22"/>
        </w:rPr>
        <w:t>quality control</w:t>
      </w:r>
      <w:r w:rsidRPr="00BC4BC6">
        <w:rPr>
          <w:rFonts w:ascii="Times New Roman" w:hAnsi="Times New Roman"/>
          <w:color w:val="000000" w:themeColor="text1"/>
          <w:sz w:val="22"/>
        </w:rPr>
        <w:t xml:space="preserve"> results and chain(s) of custody.  </w:t>
      </w:r>
    </w:p>
    <w:p w14:paraId="695AB641" w14:textId="335C2C3B" w:rsidR="008E77D0" w:rsidRDefault="00F7034E" w:rsidP="00995D62">
      <w:pPr>
        <w:spacing w:before="120" w:after="120"/>
        <w:jc w:val="both"/>
        <w:rPr>
          <w:rFonts w:ascii="Times New Roman" w:hAnsi="Times New Roman"/>
          <w:color w:val="000000" w:themeColor="text1"/>
          <w:sz w:val="22"/>
        </w:rPr>
      </w:pPr>
      <w:r>
        <w:rPr>
          <w:rFonts w:ascii="Times New Roman" w:hAnsi="Times New Roman"/>
          <w:color w:val="000000" w:themeColor="text1"/>
          <w:sz w:val="22"/>
        </w:rPr>
        <w:lastRenderedPageBreak/>
        <w:t xml:space="preserve">Vendor shall </w:t>
      </w:r>
      <w:r w:rsidR="00E42003">
        <w:rPr>
          <w:rFonts w:ascii="Times New Roman" w:hAnsi="Times New Roman"/>
          <w:color w:val="000000" w:themeColor="text1"/>
          <w:sz w:val="22"/>
        </w:rPr>
        <w:t>report a</w:t>
      </w:r>
      <w:r w:rsidR="0080373B">
        <w:rPr>
          <w:rFonts w:ascii="Times New Roman" w:hAnsi="Times New Roman"/>
          <w:color w:val="000000" w:themeColor="text1"/>
          <w:sz w:val="22"/>
        </w:rPr>
        <w:t>ny sample</w:t>
      </w:r>
      <w:r>
        <w:rPr>
          <w:rFonts w:ascii="Times New Roman" w:hAnsi="Times New Roman"/>
          <w:color w:val="000000" w:themeColor="text1"/>
          <w:sz w:val="22"/>
        </w:rPr>
        <w:t xml:space="preserve"> rejections </w:t>
      </w:r>
      <w:r w:rsidR="00E42003">
        <w:rPr>
          <w:rFonts w:ascii="Times New Roman" w:hAnsi="Times New Roman"/>
          <w:color w:val="000000" w:themeColor="text1"/>
          <w:sz w:val="22"/>
        </w:rPr>
        <w:t xml:space="preserve">within </w:t>
      </w:r>
      <w:r w:rsidR="00E42003" w:rsidRPr="00E42003">
        <w:rPr>
          <w:rFonts w:ascii="Times New Roman" w:hAnsi="Times New Roman"/>
          <w:b/>
          <w:color w:val="000000" w:themeColor="text1"/>
          <w:sz w:val="22"/>
        </w:rPr>
        <w:t>48 hours</w:t>
      </w:r>
      <w:r w:rsidR="00E42003">
        <w:rPr>
          <w:rFonts w:ascii="Times New Roman" w:hAnsi="Times New Roman"/>
          <w:color w:val="000000" w:themeColor="text1"/>
          <w:sz w:val="22"/>
        </w:rPr>
        <w:t xml:space="preserve"> </w:t>
      </w:r>
      <w:r w:rsidR="00D76062">
        <w:rPr>
          <w:rFonts w:ascii="Times New Roman" w:hAnsi="Times New Roman"/>
          <w:color w:val="000000" w:themeColor="text1"/>
          <w:sz w:val="22"/>
        </w:rPr>
        <w:t xml:space="preserve">to </w:t>
      </w:r>
      <w:r w:rsidR="00E82F24">
        <w:rPr>
          <w:rFonts w:ascii="Times New Roman" w:hAnsi="Times New Roman"/>
          <w:color w:val="000000" w:themeColor="text1"/>
          <w:sz w:val="22"/>
        </w:rPr>
        <w:t xml:space="preserve">the </w:t>
      </w:r>
      <w:r w:rsidR="00995D62">
        <w:rPr>
          <w:rFonts w:ascii="Times New Roman" w:hAnsi="Times New Roman"/>
          <w:color w:val="000000" w:themeColor="text1"/>
          <w:sz w:val="22"/>
        </w:rPr>
        <w:t>LDH-</w:t>
      </w:r>
      <w:r w:rsidR="008E77D0">
        <w:rPr>
          <w:rFonts w:ascii="Times New Roman" w:hAnsi="Times New Roman"/>
          <w:color w:val="000000" w:themeColor="text1"/>
          <w:sz w:val="22"/>
        </w:rPr>
        <w:t xml:space="preserve">SDWP </w:t>
      </w:r>
      <w:r w:rsidR="00D76062">
        <w:rPr>
          <w:rFonts w:ascii="Times New Roman" w:hAnsi="Times New Roman"/>
          <w:color w:val="000000" w:themeColor="text1"/>
          <w:sz w:val="22"/>
        </w:rPr>
        <w:t xml:space="preserve">via email to </w:t>
      </w:r>
      <w:hyperlink r:id="rId10" w:history="1">
        <w:r w:rsidR="00D76062" w:rsidRPr="00F7034E">
          <w:rPr>
            <w:rStyle w:val="Hyperlink"/>
            <w:rFonts w:ascii="Times New Roman" w:hAnsi="Times New Roman" w:cs="Times New Roman"/>
            <w:sz w:val="22"/>
          </w:rPr>
          <w:t>ChemSafe.Water@LA.GOV</w:t>
        </w:r>
      </w:hyperlink>
      <w:r w:rsidR="00E67282" w:rsidRPr="00F7034E">
        <w:rPr>
          <w:rFonts w:ascii="Times New Roman" w:hAnsi="Times New Roman" w:cs="Times New Roman"/>
          <w:color w:val="000000" w:themeColor="text1"/>
          <w:sz w:val="22"/>
        </w:rPr>
        <w:t>.</w:t>
      </w:r>
      <w:r w:rsidR="00E67282">
        <w:rPr>
          <w:rFonts w:ascii="Times New Roman" w:hAnsi="Times New Roman"/>
          <w:color w:val="000000" w:themeColor="text1"/>
          <w:sz w:val="22"/>
        </w:rPr>
        <w:t xml:space="preserve"> </w:t>
      </w:r>
      <w:r w:rsidR="002D7B12">
        <w:rPr>
          <w:rFonts w:ascii="Times New Roman" w:hAnsi="Times New Roman"/>
          <w:color w:val="000000" w:themeColor="text1"/>
          <w:sz w:val="22"/>
        </w:rPr>
        <w:t xml:space="preserve">The </w:t>
      </w:r>
      <w:r w:rsidR="008E77D0">
        <w:rPr>
          <w:rFonts w:ascii="Times New Roman" w:hAnsi="Times New Roman"/>
          <w:color w:val="000000" w:themeColor="text1"/>
          <w:sz w:val="22"/>
        </w:rPr>
        <w:t>rea</w:t>
      </w:r>
      <w:r w:rsidR="002D7B12">
        <w:rPr>
          <w:rFonts w:ascii="Times New Roman" w:hAnsi="Times New Roman"/>
          <w:color w:val="000000" w:themeColor="text1"/>
          <w:sz w:val="22"/>
        </w:rPr>
        <w:t>son for rejection shall be provided in writing on the chain of custody or laboratory report.</w:t>
      </w:r>
      <w:r w:rsidR="00E82F24">
        <w:rPr>
          <w:rFonts w:ascii="Times New Roman" w:hAnsi="Times New Roman"/>
          <w:color w:val="000000" w:themeColor="text1"/>
          <w:sz w:val="22"/>
        </w:rPr>
        <w:t xml:space="preserve"> </w:t>
      </w:r>
    </w:p>
    <w:p w14:paraId="4C503B64" w14:textId="1DE06ADF" w:rsidR="00FA756D" w:rsidRPr="00636899" w:rsidRDefault="00FA756D" w:rsidP="001644E6">
      <w:pPr>
        <w:spacing w:before="240" w:after="120"/>
        <w:rPr>
          <w:rFonts w:ascii="Times New Roman" w:hAnsi="Times New Roman"/>
          <w:color w:val="000000" w:themeColor="text1"/>
          <w:sz w:val="22"/>
        </w:rPr>
      </w:pPr>
      <w:r w:rsidRPr="00636899">
        <w:rPr>
          <w:rFonts w:ascii="Times New Roman" w:hAnsi="Times New Roman"/>
          <w:color w:val="000000" w:themeColor="text1"/>
          <w:sz w:val="22"/>
        </w:rPr>
        <w:t>The following conditions, unless otherwise stated in the bid document,</w:t>
      </w:r>
      <w:r>
        <w:rPr>
          <w:rFonts w:ascii="Times New Roman" w:hAnsi="Times New Roman"/>
          <w:color w:val="000000" w:themeColor="text1"/>
          <w:sz w:val="22"/>
        </w:rPr>
        <w:t xml:space="preserve"> w</w:t>
      </w:r>
      <w:r w:rsidRPr="00636899">
        <w:rPr>
          <w:rFonts w:ascii="Times New Roman" w:hAnsi="Times New Roman"/>
          <w:color w:val="000000" w:themeColor="text1"/>
          <w:sz w:val="22"/>
        </w:rPr>
        <w:t>ill apply to all orders:</w:t>
      </w:r>
    </w:p>
    <w:p w14:paraId="433080E5" w14:textId="77777777" w:rsidR="00FA756D" w:rsidRPr="009E714D" w:rsidRDefault="00FA756D" w:rsidP="00591478">
      <w:pPr>
        <w:pStyle w:val="ListParagraph"/>
        <w:numPr>
          <w:ilvl w:val="0"/>
          <w:numId w:val="5"/>
        </w:numPr>
        <w:spacing w:before="240" w:after="120"/>
        <w:jc w:val="both"/>
        <w:rPr>
          <w:rFonts w:ascii="Times New Roman" w:hAnsi="Times New Roman"/>
          <w:color w:val="000000" w:themeColor="text1"/>
          <w:sz w:val="22"/>
        </w:rPr>
      </w:pPr>
      <w:r w:rsidRPr="009E714D">
        <w:rPr>
          <w:rFonts w:ascii="Times New Roman" w:hAnsi="Times New Roman"/>
          <w:color w:val="000000" w:themeColor="text1"/>
          <w:sz w:val="22"/>
        </w:rPr>
        <w:t>Payment to vendors - payment for goods and/or services purchased by the state will only be made in accordance with the following conditions:</w:t>
      </w:r>
    </w:p>
    <w:p w14:paraId="0A6F2BDC" w14:textId="0B040FD5" w:rsidR="00FA756D" w:rsidRPr="009E714D" w:rsidRDefault="00FA756D" w:rsidP="00591478">
      <w:pPr>
        <w:pStyle w:val="ListParagraph"/>
        <w:numPr>
          <w:ilvl w:val="0"/>
          <w:numId w:val="5"/>
        </w:numPr>
        <w:spacing w:before="120" w:after="120"/>
        <w:jc w:val="both"/>
        <w:rPr>
          <w:rFonts w:ascii="Times New Roman" w:hAnsi="Times New Roman"/>
          <w:sz w:val="22"/>
        </w:rPr>
      </w:pPr>
      <w:r w:rsidRPr="009E714D">
        <w:rPr>
          <w:rFonts w:ascii="Times New Roman" w:hAnsi="Times New Roman"/>
          <w:color w:val="000000" w:themeColor="text1"/>
          <w:sz w:val="22"/>
        </w:rPr>
        <w:t xml:space="preserve">Invoices </w:t>
      </w:r>
      <w:r w:rsidR="00E22F43" w:rsidRPr="009E714D">
        <w:rPr>
          <w:rFonts w:ascii="Times New Roman" w:hAnsi="Times New Roman"/>
          <w:sz w:val="22"/>
        </w:rPr>
        <w:t>shall</w:t>
      </w:r>
      <w:r w:rsidRPr="009E714D">
        <w:rPr>
          <w:rFonts w:ascii="Times New Roman" w:hAnsi="Times New Roman"/>
          <w:sz w:val="22"/>
        </w:rPr>
        <w:t xml:space="preserve"> reference the state's purchase order number and reflect the quantity billed by purchase order line number.</w:t>
      </w:r>
    </w:p>
    <w:p w14:paraId="65F24527" w14:textId="265EE33E" w:rsidR="00FA756D" w:rsidRPr="009E714D" w:rsidRDefault="00FA756D" w:rsidP="00591478">
      <w:pPr>
        <w:pStyle w:val="ListParagraph"/>
        <w:numPr>
          <w:ilvl w:val="0"/>
          <w:numId w:val="5"/>
        </w:numPr>
        <w:spacing w:before="120" w:after="120"/>
        <w:jc w:val="both"/>
        <w:rPr>
          <w:rFonts w:ascii="Times New Roman" w:hAnsi="Times New Roman"/>
          <w:sz w:val="22"/>
        </w:rPr>
      </w:pPr>
      <w:r w:rsidRPr="009E714D">
        <w:rPr>
          <w:rFonts w:ascii="Times New Roman" w:hAnsi="Times New Roman"/>
          <w:sz w:val="22"/>
        </w:rPr>
        <w:t xml:space="preserve">Bills of lading, packing slips, and/or other related shipping papers </w:t>
      </w:r>
      <w:r w:rsidR="00E22F43" w:rsidRPr="009E714D">
        <w:rPr>
          <w:rFonts w:ascii="Times New Roman" w:hAnsi="Times New Roman"/>
          <w:sz w:val="22"/>
        </w:rPr>
        <w:t>shall</w:t>
      </w:r>
      <w:r w:rsidRPr="009E714D">
        <w:rPr>
          <w:rFonts w:ascii="Times New Roman" w:hAnsi="Times New Roman"/>
          <w:sz w:val="22"/>
        </w:rPr>
        <w:t xml:space="preserve"> reference the state's purchase order number and reflect the quantity shipped by purchase order line number.</w:t>
      </w:r>
    </w:p>
    <w:p w14:paraId="73A6C4D8" w14:textId="5F04ED8B" w:rsidR="009E714D" w:rsidRPr="009E714D" w:rsidRDefault="009E714D" w:rsidP="00591478">
      <w:pPr>
        <w:pStyle w:val="ListParagraph"/>
        <w:numPr>
          <w:ilvl w:val="0"/>
          <w:numId w:val="5"/>
        </w:numPr>
        <w:spacing w:before="240" w:after="120"/>
        <w:jc w:val="both"/>
        <w:rPr>
          <w:rFonts w:ascii="Times New Roman" w:hAnsi="Times New Roman"/>
          <w:sz w:val="22"/>
        </w:rPr>
      </w:pPr>
      <w:r w:rsidRPr="009E714D">
        <w:rPr>
          <w:rFonts w:ascii="Times New Roman" w:hAnsi="Times New Roman"/>
          <w:sz w:val="22"/>
        </w:rPr>
        <w:t>The state is not responsible for goods delivered or work done without a written order.  No allowance for boxing or crating.  Unauthorized quantities in excess of this order will be returned or held subject to Shipper's order, expense and risk.</w:t>
      </w:r>
    </w:p>
    <w:p w14:paraId="5FDA8F4C" w14:textId="74E8F8CB" w:rsidR="009E714D" w:rsidRPr="009E714D" w:rsidRDefault="009E714D" w:rsidP="00591478">
      <w:pPr>
        <w:pStyle w:val="ListParagraph"/>
        <w:numPr>
          <w:ilvl w:val="0"/>
          <w:numId w:val="5"/>
        </w:numPr>
        <w:spacing w:before="240" w:after="120"/>
        <w:jc w:val="both"/>
        <w:rPr>
          <w:rFonts w:ascii="Times New Roman" w:hAnsi="Times New Roman"/>
          <w:sz w:val="22"/>
        </w:rPr>
      </w:pPr>
      <w:r w:rsidRPr="009E714D">
        <w:rPr>
          <w:rFonts w:ascii="Times New Roman" w:hAnsi="Times New Roman"/>
          <w:sz w:val="22"/>
        </w:rPr>
        <w:t>Contractor warrants that the goods or service to be furnished hereunder will be in full conformity with the specifications, drawing or sample and agrees that this warranty shall survive acceptance of the goods or service and that contractor will bear the cost of resampling the rejected goods or service.</w:t>
      </w:r>
    </w:p>
    <w:p w14:paraId="5EB84820" w14:textId="4A9E07C4" w:rsidR="009E714D" w:rsidRPr="009E714D" w:rsidRDefault="009E714D" w:rsidP="00591478">
      <w:pPr>
        <w:pStyle w:val="ListParagraph"/>
        <w:numPr>
          <w:ilvl w:val="0"/>
          <w:numId w:val="5"/>
        </w:numPr>
        <w:spacing w:before="240" w:after="120"/>
        <w:jc w:val="both"/>
        <w:rPr>
          <w:rFonts w:ascii="Times New Roman" w:hAnsi="Times New Roman"/>
          <w:sz w:val="22"/>
        </w:rPr>
      </w:pPr>
      <w:r w:rsidRPr="009E714D">
        <w:rPr>
          <w:rFonts w:ascii="Times New Roman" w:hAnsi="Times New Roman"/>
          <w:sz w:val="22"/>
        </w:rPr>
        <w:t>All rejected goods or service will be held at contractor's risk and expense, subject to contractors prompt advice as to disposition.  Unless otherwise arranged, all rejected goods or service will be returned at contractor's expense.</w:t>
      </w:r>
    </w:p>
    <w:p w14:paraId="5EB3D495" w14:textId="3B04F85E" w:rsidR="009E714D" w:rsidRPr="009E714D" w:rsidRDefault="009E714D" w:rsidP="00591478">
      <w:pPr>
        <w:pStyle w:val="ListParagraph"/>
        <w:numPr>
          <w:ilvl w:val="0"/>
          <w:numId w:val="5"/>
        </w:numPr>
        <w:spacing w:before="240" w:after="120"/>
        <w:jc w:val="both"/>
        <w:rPr>
          <w:rFonts w:ascii="Times New Roman" w:hAnsi="Times New Roman"/>
          <w:sz w:val="22"/>
        </w:rPr>
      </w:pPr>
      <w:r w:rsidRPr="009E714D">
        <w:rPr>
          <w:rFonts w:ascii="Times New Roman" w:hAnsi="Times New Roman"/>
          <w:sz w:val="22"/>
        </w:rPr>
        <w:t>Contractor will, at its expense, defend the state against any claim that any goods or service to be furnished hereunder infringes a patent or copyright in the United States or Puerto Rico, and will pay all cost of damages and attorney's fees that a court finally awards as a result of such claim.</w:t>
      </w:r>
    </w:p>
    <w:p w14:paraId="33EF339E" w14:textId="3F937A72" w:rsidR="009E714D" w:rsidRPr="009E714D" w:rsidRDefault="009E714D" w:rsidP="00591478">
      <w:pPr>
        <w:pStyle w:val="ListParagraph"/>
        <w:numPr>
          <w:ilvl w:val="0"/>
          <w:numId w:val="5"/>
        </w:numPr>
        <w:spacing w:before="240" w:after="120"/>
        <w:jc w:val="both"/>
        <w:rPr>
          <w:rFonts w:ascii="Times New Roman" w:hAnsi="Times New Roman"/>
          <w:sz w:val="22"/>
        </w:rPr>
      </w:pPr>
      <w:r w:rsidRPr="009E714D">
        <w:rPr>
          <w:rFonts w:ascii="Times New Roman" w:hAnsi="Times New Roman"/>
          <w:sz w:val="22"/>
        </w:rPr>
        <w:t>This contract shall be effective for the period beginning July 1, 2023- June 30, 2024.</w:t>
      </w:r>
    </w:p>
    <w:p w14:paraId="1E43BB0A" w14:textId="018A15B9" w:rsidR="00CF61CA" w:rsidRPr="009E714D" w:rsidRDefault="009E714D" w:rsidP="00591478">
      <w:pPr>
        <w:pStyle w:val="ListParagraph"/>
        <w:numPr>
          <w:ilvl w:val="0"/>
          <w:numId w:val="5"/>
        </w:numPr>
        <w:spacing w:before="240" w:after="120"/>
        <w:jc w:val="both"/>
        <w:rPr>
          <w:rFonts w:ascii="Times New Roman" w:hAnsi="Times New Roman"/>
          <w:sz w:val="22"/>
        </w:rPr>
      </w:pPr>
      <w:r w:rsidRPr="009E714D">
        <w:rPr>
          <w:rFonts w:ascii="Times New Roman" w:hAnsi="Times New Roman"/>
          <w:sz w:val="22"/>
        </w:rPr>
        <w:t xml:space="preserve">This contract may be renewed for two additional years, not to exceed 36 months, at the sole discretion of the State of Louisiana.  </w:t>
      </w:r>
      <w:proofErr w:type="gramStart"/>
      <w:r w:rsidRPr="009E714D">
        <w:rPr>
          <w:rFonts w:ascii="Times New Roman" w:hAnsi="Times New Roman"/>
          <w:sz w:val="22"/>
        </w:rPr>
        <w:t>The per</w:t>
      </w:r>
      <w:proofErr w:type="gramEnd"/>
      <w:r w:rsidRPr="009E714D">
        <w:rPr>
          <w:rFonts w:ascii="Times New Roman" w:hAnsi="Times New Roman"/>
          <w:sz w:val="22"/>
        </w:rPr>
        <w:t xml:space="preserve"> sample cost must remain the same as the bid in order to be eligible for renewal.</w:t>
      </w:r>
    </w:p>
    <w:sectPr w:rsidR="00CF61CA" w:rsidRPr="009E714D" w:rsidSect="003D6304">
      <w:headerReference w:type="default" r:id="rId11"/>
      <w:footerReference w:type="default" r:id="rId12"/>
      <w:pgSz w:w="12240" w:h="15840"/>
      <w:pgMar w:top="1980" w:right="1080" w:bottom="108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90AC" w14:textId="77777777" w:rsidR="00B47745" w:rsidRDefault="00B47745" w:rsidP="00AE2775">
      <w:r>
        <w:separator/>
      </w:r>
    </w:p>
  </w:endnote>
  <w:endnote w:type="continuationSeparator" w:id="0">
    <w:p w14:paraId="6CEBBB94" w14:textId="77777777" w:rsidR="00B47745" w:rsidRDefault="00B47745" w:rsidP="00AE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472323434"/>
      <w:docPartObj>
        <w:docPartGallery w:val="Page Numbers (Bottom of Page)"/>
        <w:docPartUnique/>
      </w:docPartObj>
    </w:sdtPr>
    <w:sdtEndPr/>
    <w:sdtContent>
      <w:sdt>
        <w:sdtPr>
          <w:rPr>
            <w:sz w:val="22"/>
          </w:rPr>
          <w:id w:val="1138993051"/>
          <w:docPartObj>
            <w:docPartGallery w:val="Page Numbers (Top of Page)"/>
            <w:docPartUnique/>
          </w:docPartObj>
        </w:sdtPr>
        <w:sdtEndPr/>
        <w:sdtContent>
          <w:p w14:paraId="49A697C1" w14:textId="633C2B2B" w:rsidR="00AE2775" w:rsidRPr="00044243" w:rsidRDefault="00356EDA">
            <w:pPr>
              <w:pStyle w:val="Footer"/>
              <w:rPr>
                <w:sz w:val="22"/>
              </w:rPr>
            </w:pPr>
            <w:r w:rsidRPr="00044243">
              <w:rPr>
                <w:sz w:val="22"/>
              </w:rPr>
              <w:tab/>
            </w:r>
            <w:r w:rsidRPr="00044243">
              <w:rPr>
                <w:rFonts w:ascii="Times New Roman" w:hAnsi="Times New Roman" w:cs="Times New Roman"/>
                <w:sz w:val="22"/>
              </w:rPr>
              <w:t xml:space="preserve">Page </w:t>
            </w:r>
            <w:r w:rsidRPr="00044243">
              <w:rPr>
                <w:rFonts w:ascii="Times New Roman" w:hAnsi="Times New Roman" w:cs="Times New Roman"/>
                <w:b/>
                <w:bCs/>
                <w:sz w:val="22"/>
              </w:rPr>
              <w:fldChar w:fldCharType="begin"/>
            </w:r>
            <w:r w:rsidRPr="00044243">
              <w:rPr>
                <w:rFonts w:ascii="Times New Roman" w:hAnsi="Times New Roman" w:cs="Times New Roman"/>
                <w:b/>
                <w:bCs/>
                <w:sz w:val="22"/>
              </w:rPr>
              <w:instrText xml:space="preserve"> PAGE </w:instrText>
            </w:r>
            <w:r w:rsidRPr="00044243">
              <w:rPr>
                <w:rFonts w:ascii="Times New Roman" w:hAnsi="Times New Roman" w:cs="Times New Roman"/>
                <w:b/>
                <w:bCs/>
                <w:sz w:val="22"/>
              </w:rPr>
              <w:fldChar w:fldCharType="separate"/>
            </w:r>
            <w:r w:rsidR="003B4497">
              <w:rPr>
                <w:rFonts w:ascii="Times New Roman" w:hAnsi="Times New Roman" w:cs="Times New Roman"/>
                <w:b/>
                <w:bCs/>
                <w:noProof/>
                <w:sz w:val="22"/>
              </w:rPr>
              <w:t>2</w:t>
            </w:r>
            <w:r w:rsidRPr="00044243">
              <w:rPr>
                <w:rFonts w:ascii="Times New Roman" w:hAnsi="Times New Roman" w:cs="Times New Roman"/>
                <w:b/>
                <w:bCs/>
                <w:sz w:val="22"/>
              </w:rPr>
              <w:fldChar w:fldCharType="end"/>
            </w:r>
            <w:r w:rsidRPr="00044243">
              <w:rPr>
                <w:rFonts w:ascii="Times New Roman" w:hAnsi="Times New Roman" w:cs="Times New Roman"/>
                <w:sz w:val="22"/>
              </w:rPr>
              <w:t xml:space="preserve"> of </w:t>
            </w:r>
            <w:r w:rsidRPr="00044243">
              <w:rPr>
                <w:rFonts w:ascii="Times New Roman" w:hAnsi="Times New Roman" w:cs="Times New Roman"/>
                <w:b/>
                <w:bCs/>
                <w:sz w:val="22"/>
              </w:rPr>
              <w:fldChar w:fldCharType="begin"/>
            </w:r>
            <w:r w:rsidRPr="00044243">
              <w:rPr>
                <w:rFonts w:ascii="Times New Roman" w:hAnsi="Times New Roman" w:cs="Times New Roman"/>
                <w:b/>
                <w:bCs/>
                <w:sz w:val="22"/>
              </w:rPr>
              <w:instrText xml:space="preserve"> NUMPAGES  </w:instrText>
            </w:r>
            <w:r w:rsidRPr="00044243">
              <w:rPr>
                <w:rFonts w:ascii="Times New Roman" w:hAnsi="Times New Roman" w:cs="Times New Roman"/>
                <w:b/>
                <w:bCs/>
                <w:sz w:val="22"/>
              </w:rPr>
              <w:fldChar w:fldCharType="separate"/>
            </w:r>
            <w:r w:rsidR="003B4497">
              <w:rPr>
                <w:rFonts w:ascii="Times New Roman" w:hAnsi="Times New Roman" w:cs="Times New Roman"/>
                <w:b/>
                <w:bCs/>
                <w:noProof/>
                <w:sz w:val="22"/>
              </w:rPr>
              <w:t>2</w:t>
            </w:r>
            <w:r w:rsidRPr="00044243">
              <w:rPr>
                <w:rFonts w:ascii="Times New Roman" w:hAnsi="Times New Roman" w:cs="Times New Roman"/>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56B3" w14:textId="77777777" w:rsidR="00B47745" w:rsidRDefault="00B47745" w:rsidP="00AE2775">
      <w:r>
        <w:separator/>
      </w:r>
    </w:p>
  </w:footnote>
  <w:footnote w:type="continuationSeparator" w:id="0">
    <w:p w14:paraId="179297FE" w14:textId="77777777" w:rsidR="00B47745" w:rsidRDefault="00B47745" w:rsidP="00AE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7997" w14:textId="606F6683" w:rsidR="003D6304" w:rsidRDefault="003D6304" w:rsidP="003D6304">
    <w:pPr>
      <w:pStyle w:val="Header"/>
    </w:pPr>
    <w:r>
      <w:rPr>
        <w:rFonts w:ascii="Arial" w:hAnsi="Arial"/>
        <w:noProof/>
        <w:sz w:val="12"/>
      </w:rPr>
      <w:drawing>
        <wp:anchor distT="0" distB="0" distL="114300" distR="114300" simplePos="0" relativeHeight="251659264" behindDoc="1" locked="0" layoutInCell="1" allowOverlap="1" wp14:anchorId="7DD53FFA" wp14:editId="48620A48">
          <wp:simplePos x="0" y="0"/>
          <wp:positionH relativeFrom="column">
            <wp:posOffset>57150</wp:posOffset>
          </wp:positionH>
          <wp:positionV relativeFrom="paragraph">
            <wp:posOffset>140970</wp:posOffset>
          </wp:positionV>
          <wp:extent cx="914400" cy="914400"/>
          <wp:effectExtent l="0" t="0" r="0" b="0"/>
          <wp:wrapTight wrapText="bothSides">
            <wp:wrapPolygon edited="0">
              <wp:start x="0" y="0"/>
              <wp:lineTo x="0" y="21150"/>
              <wp:lineTo x="21150" y="21150"/>
              <wp:lineTo x="21150" y="0"/>
              <wp:lineTo x="0" y="0"/>
            </wp:wrapPolygon>
          </wp:wrapTight>
          <wp:docPr id="21" name="Picture 21" descr="2 COLOR STATE SEAL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R STATE SEAL (bl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14:paraId="4707A3F2" w14:textId="3814E4A1" w:rsidR="003D6304" w:rsidRDefault="003D6304" w:rsidP="003D6304">
    <w:pPr>
      <w:pStyle w:val="Header"/>
    </w:pPr>
  </w:p>
  <w:p w14:paraId="2A700E20" w14:textId="6157A2D3" w:rsidR="003D6304" w:rsidRDefault="003D6304" w:rsidP="003D6304">
    <w:pPr>
      <w:pStyle w:val="Header"/>
      <w:rPr>
        <w:rFonts w:ascii="Times New Roman" w:hAnsi="Times New Roman" w:cs="Times New Roman"/>
      </w:rPr>
    </w:pPr>
    <w:r>
      <w:t xml:space="preserve">                     </w:t>
    </w:r>
    <w:r w:rsidR="000D3D3B">
      <w:rPr>
        <w:rFonts w:ascii="Times New Roman" w:hAnsi="Times New Roman" w:cs="Times New Roman"/>
      </w:rPr>
      <w:t xml:space="preserve">Attachment </w:t>
    </w:r>
    <w:r w:rsidR="00591478">
      <w:rPr>
        <w:rFonts w:ascii="Times New Roman" w:hAnsi="Times New Roman" w:cs="Times New Roman"/>
      </w:rPr>
      <w:t>B</w:t>
    </w:r>
    <w:r>
      <w:rPr>
        <w:rFonts w:ascii="Times New Roman" w:hAnsi="Times New Roman" w:cs="Times New Roman"/>
      </w:rPr>
      <w:t xml:space="preserve"> – Specifications</w:t>
    </w:r>
  </w:p>
  <w:p w14:paraId="7A0E6FEF" w14:textId="77777777" w:rsidR="00591478" w:rsidRDefault="00591478" w:rsidP="003D6304">
    <w:pPr>
      <w:pStyle w:val="Header"/>
      <w:rPr>
        <w:rFonts w:ascii="Times New Roman" w:hAnsi="Times New Roman" w:cs="Times New Roman"/>
      </w:rPr>
    </w:pPr>
  </w:p>
  <w:p w14:paraId="27DA9ACC" w14:textId="49BD7D18" w:rsidR="003D6304" w:rsidRDefault="00591478" w:rsidP="003D6304">
    <w:pPr>
      <w:pStyle w:val="Header"/>
      <w:rPr>
        <w:rFonts w:ascii="Times New Roman" w:hAnsi="Times New Roman" w:cs="Times New Roman"/>
      </w:rPr>
    </w:pPr>
    <w:proofErr w:type="spellStart"/>
    <w:r>
      <w:rPr>
        <w:rFonts w:ascii="Times New Roman" w:hAnsi="Times New Roman" w:cs="Times New Roman"/>
      </w:rPr>
      <w:t>RFx</w:t>
    </w:r>
    <w:proofErr w:type="spellEnd"/>
    <w:r>
      <w:rPr>
        <w:rFonts w:ascii="Times New Roman" w:hAnsi="Times New Roman" w:cs="Times New Roman"/>
      </w:rPr>
      <w:t xml:space="preserve"> No.: 30000</w:t>
    </w:r>
    <w:r w:rsidR="003B4497">
      <w:rPr>
        <w:rFonts w:ascii="Times New Roman" w:hAnsi="Times New Roman" w:cs="Times New Roman"/>
      </w:rPr>
      <w:t>24201</w:t>
    </w:r>
    <w:r w:rsidR="003D6304">
      <w:rPr>
        <w:rFonts w:ascii="Times New Roman" w:hAnsi="Times New Roman" w:cs="Times New Roman"/>
      </w:rPr>
      <w:tab/>
      <w:t xml:space="preserve">               </w:t>
    </w:r>
    <w:r w:rsidR="000D3D3B">
      <w:rPr>
        <w:rFonts w:ascii="Times New Roman" w:hAnsi="Times New Roman" w:cs="Times New Roman"/>
      </w:rPr>
      <w:tab/>
    </w:r>
    <w:r w:rsidR="003D6304">
      <w:rPr>
        <w:rFonts w:ascii="Times New Roman" w:hAnsi="Times New Roman" w:cs="Times New Roman"/>
      </w:rPr>
      <w:t xml:space="preserve">Title:  Drinking Water Analysis – </w:t>
    </w:r>
    <w:r>
      <w:rPr>
        <w:rFonts w:ascii="Times New Roman" w:hAnsi="Times New Roman" w:cs="Times New Roman"/>
      </w:rPr>
      <w:t>LDH-OPH</w:t>
    </w:r>
  </w:p>
  <w:p w14:paraId="08714E4B" w14:textId="79F13ABC" w:rsidR="003D6304" w:rsidRDefault="003D6304" w:rsidP="003D6304">
    <w:pPr>
      <w:pStyle w:val="Header"/>
      <w:rPr>
        <w:rFonts w:ascii="Times New Roman" w:hAnsi="Times New Roman" w:cs="Times New Roman"/>
      </w:rPr>
    </w:pPr>
    <w:r>
      <w:rPr>
        <w:rFonts w:ascii="Times New Roman" w:hAnsi="Times New Roman" w:cs="Times New Roman"/>
      </w:rPr>
      <w:tab/>
      <w:t xml:space="preserve">                                                                       </w:t>
    </w:r>
    <w:r w:rsidR="00591478">
      <w:rPr>
        <w:rFonts w:ascii="Times New Roman" w:hAnsi="Times New Roman" w:cs="Times New Roman"/>
      </w:rPr>
      <w:t xml:space="preserve">            </w:t>
    </w:r>
    <w:r w:rsidR="00D07E9E">
      <w:rPr>
        <w:rFonts w:ascii="Times New Roman" w:hAnsi="Times New Roman" w:cs="Times New Roman"/>
      </w:rPr>
      <w:t>Safe Drinking Water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DD9"/>
    <w:multiLevelType w:val="hybridMultilevel"/>
    <w:tmpl w:val="C46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60221"/>
    <w:multiLevelType w:val="hybridMultilevel"/>
    <w:tmpl w:val="ABD6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71F01"/>
    <w:multiLevelType w:val="hybridMultilevel"/>
    <w:tmpl w:val="E4D44744"/>
    <w:lvl w:ilvl="0" w:tplc="842AB08E">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2D1BBF"/>
    <w:multiLevelType w:val="hybridMultilevel"/>
    <w:tmpl w:val="DC264620"/>
    <w:lvl w:ilvl="0" w:tplc="91367244">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25B37"/>
    <w:multiLevelType w:val="hybridMultilevel"/>
    <w:tmpl w:val="499C5F1A"/>
    <w:lvl w:ilvl="0" w:tplc="350A4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6"/>
    <w:rsid w:val="000150C8"/>
    <w:rsid w:val="00017433"/>
    <w:rsid w:val="00034085"/>
    <w:rsid w:val="00034A84"/>
    <w:rsid w:val="00044243"/>
    <w:rsid w:val="00052285"/>
    <w:rsid w:val="00054928"/>
    <w:rsid w:val="00063A8F"/>
    <w:rsid w:val="00067922"/>
    <w:rsid w:val="000712CB"/>
    <w:rsid w:val="00072CEF"/>
    <w:rsid w:val="00077B90"/>
    <w:rsid w:val="000A3686"/>
    <w:rsid w:val="000A4673"/>
    <w:rsid w:val="000C04CD"/>
    <w:rsid w:val="000C1BD1"/>
    <w:rsid w:val="000C208F"/>
    <w:rsid w:val="000D0AE1"/>
    <w:rsid w:val="000D2B4F"/>
    <w:rsid w:val="000D3D3B"/>
    <w:rsid w:val="000D6B6C"/>
    <w:rsid w:val="000F6919"/>
    <w:rsid w:val="000F725C"/>
    <w:rsid w:val="00111DEF"/>
    <w:rsid w:val="00115D55"/>
    <w:rsid w:val="00120C45"/>
    <w:rsid w:val="00124B7D"/>
    <w:rsid w:val="0012621A"/>
    <w:rsid w:val="00144004"/>
    <w:rsid w:val="0015649A"/>
    <w:rsid w:val="001644E6"/>
    <w:rsid w:val="00173684"/>
    <w:rsid w:val="00174A66"/>
    <w:rsid w:val="001763BE"/>
    <w:rsid w:val="0019341F"/>
    <w:rsid w:val="001B1555"/>
    <w:rsid w:val="001B62DE"/>
    <w:rsid w:val="001C182F"/>
    <w:rsid w:val="001C24CE"/>
    <w:rsid w:val="001D601C"/>
    <w:rsid w:val="001E07A1"/>
    <w:rsid w:val="001E7A44"/>
    <w:rsid w:val="00203428"/>
    <w:rsid w:val="00203AA3"/>
    <w:rsid w:val="00210C2C"/>
    <w:rsid w:val="00224B1D"/>
    <w:rsid w:val="00230C62"/>
    <w:rsid w:val="00242BAC"/>
    <w:rsid w:val="0024553F"/>
    <w:rsid w:val="00252D75"/>
    <w:rsid w:val="00260F7D"/>
    <w:rsid w:val="00265908"/>
    <w:rsid w:val="00287CFD"/>
    <w:rsid w:val="0029119C"/>
    <w:rsid w:val="00293E79"/>
    <w:rsid w:val="002B2C8C"/>
    <w:rsid w:val="002C3D61"/>
    <w:rsid w:val="002C5468"/>
    <w:rsid w:val="002D7B12"/>
    <w:rsid w:val="002F5784"/>
    <w:rsid w:val="00340E70"/>
    <w:rsid w:val="00355703"/>
    <w:rsid w:val="00356EDA"/>
    <w:rsid w:val="00357FBE"/>
    <w:rsid w:val="00362E42"/>
    <w:rsid w:val="00365605"/>
    <w:rsid w:val="0039566E"/>
    <w:rsid w:val="00395763"/>
    <w:rsid w:val="003B2241"/>
    <w:rsid w:val="003B27F5"/>
    <w:rsid w:val="003B4497"/>
    <w:rsid w:val="003B5463"/>
    <w:rsid w:val="003B5BF1"/>
    <w:rsid w:val="003C77C7"/>
    <w:rsid w:val="003D4040"/>
    <w:rsid w:val="003D48A7"/>
    <w:rsid w:val="003D6304"/>
    <w:rsid w:val="003E4B5E"/>
    <w:rsid w:val="003E58E6"/>
    <w:rsid w:val="00415FD6"/>
    <w:rsid w:val="004358CC"/>
    <w:rsid w:val="00437A96"/>
    <w:rsid w:val="004663A8"/>
    <w:rsid w:val="004710F8"/>
    <w:rsid w:val="004722A6"/>
    <w:rsid w:val="004A65F9"/>
    <w:rsid w:val="004B7348"/>
    <w:rsid w:val="004C1177"/>
    <w:rsid w:val="004C6762"/>
    <w:rsid w:val="004D456F"/>
    <w:rsid w:val="004D6C74"/>
    <w:rsid w:val="005217D6"/>
    <w:rsid w:val="00521970"/>
    <w:rsid w:val="00522106"/>
    <w:rsid w:val="005466A7"/>
    <w:rsid w:val="005518B2"/>
    <w:rsid w:val="005541D6"/>
    <w:rsid w:val="00557BF7"/>
    <w:rsid w:val="0057467F"/>
    <w:rsid w:val="00591478"/>
    <w:rsid w:val="0059238A"/>
    <w:rsid w:val="005A291B"/>
    <w:rsid w:val="005B0FC1"/>
    <w:rsid w:val="005B4234"/>
    <w:rsid w:val="005C2FF4"/>
    <w:rsid w:val="005C65AC"/>
    <w:rsid w:val="005D2037"/>
    <w:rsid w:val="005E35E8"/>
    <w:rsid w:val="005E5524"/>
    <w:rsid w:val="005F0AAF"/>
    <w:rsid w:val="005F4250"/>
    <w:rsid w:val="005F71CA"/>
    <w:rsid w:val="00606481"/>
    <w:rsid w:val="00623A98"/>
    <w:rsid w:val="00635541"/>
    <w:rsid w:val="00642BC0"/>
    <w:rsid w:val="0064384E"/>
    <w:rsid w:val="00647FB8"/>
    <w:rsid w:val="00651E58"/>
    <w:rsid w:val="00651F34"/>
    <w:rsid w:val="00654775"/>
    <w:rsid w:val="00666A6F"/>
    <w:rsid w:val="00674F3D"/>
    <w:rsid w:val="00683880"/>
    <w:rsid w:val="00686A28"/>
    <w:rsid w:val="006A1064"/>
    <w:rsid w:val="006B0F2C"/>
    <w:rsid w:val="006B17F2"/>
    <w:rsid w:val="006B412B"/>
    <w:rsid w:val="006B7956"/>
    <w:rsid w:val="006C3AC9"/>
    <w:rsid w:val="006D4535"/>
    <w:rsid w:val="006D5347"/>
    <w:rsid w:val="006D7AF4"/>
    <w:rsid w:val="006E14ED"/>
    <w:rsid w:val="006F2C31"/>
    <w:rsid w:val="00727C18"/>
    <w:rsid w:val="00736764"/>
    <w:rsid w:val="007553FC"/>
    <w:rsid w:val="00762E50"/>
    <w:rsid w:val="00767406"/>
    <w:rsid w:val="00774332"/>
    <w:rsid w:val="00780296"/>
    <w:rsid w:val="007919C2"/>
    <w:rsid w:val="007A1485"/>
    <w:rsid w:val="007A3379"/>
    <w:rsid w:val="007B3222"/>
    <w:rsid w:val="007D779E"/>
    <w:rsid w:val="007E70E2"/>
    <w:rsid w:val="007F1923"/>
    <w:rsid w:val="00800113"/>
    <w:rsid w:val="00800E5A"/>
    <w:rsid w:val="0080373B"/>
    <w:rsid w:val="00826A27"/>
    <w:rsid w:val="00833975"/>
    <w:rsid w:val="00836295"/>
    <w:rsid w:val="00843E80"/>
    <w:rsid w:val="008656CB"/>
    <w:rsid w:val="00887CE2"/>
    <w:rsid w:val="008A360D"/>
    <w:rsid w:val="008D16A1"/>
    <w:rsid w:val="008D555C"/>
    <w:rsid w:val="008E12CB"/>
    <w:rsid w:val="008E77D0"/>
    <w:rsid w:val="00902B22"/>
    <w:rsid w:val="009044BF"/>
    <w:rsid w:val="00932228"/>
    <w:rsid w:val="009377EF"/>
    <w:rsid w:val="00940E52"/>
    <w:rsid w:val="00955F40"/>
    <w:rsid w:val="00956DF1"/>
    <w:rsid w:val="00957027"/>
    <w:rsid w:val="00973C94"/>
    <w:rsid w:val="009759B9"/>
    <w:rsid w:val="00977313"/>
    <w:rsid w:val="00984089"/>
    <w:rsid w:val="00985136"/>
    <w:rsid w:val="00995D62"/>
    <w:rsid w:val="009965B8"/>
    <w:rsid w:val="009A2279"/>
    <w:rsid w:val="009A3279"/>
    <w:rsid w:val="009B1089"/>
    <w:rsid w:val="009B1BC3"/>
    <w:rsid w:val="009B7C01"/>
    <w:rsid w:val="009C0BFC"/>
    <w:rsid w:val="009C26C6"/>
    <w:rsid w:val="009D3108"/>
    <w:rsid w:val="009D6BC4"/>
    <w:rsid w:val="009D6C2E"/>
    <w:rsid w:val="009E1805"/>
    <w:rsid w:val="009E714D"/>
    <w:rsid w:val="009F7F7F"/>
    <w:rsid w:val="00A039F7"/>
    <w:rsid w:val="00A071BB"/>
    <w:rsid w:val="00A32445"/>
    <w:rsid w:val="00A45BB5"/>
    <w:rsid w:val="00A553A6"/>
    <w:rsid w:val="00A61994"/>
    <w:rsid w:val="00A671D5"/>
    <w:rsid w:val="00A677BA"/>
    <w:rsid w:val="00A76085"/>
    <w:rsid w:val="00A81211"/>
    <w:rsid w:val="00A83DED"/>
    <w:rsid w:val="00A90AE3"/>
    <w:rsid w:val="00A9749C"/>
    <w:rsid w:val="00AA0101"/>
    <w:rsid w:val="00AB09C6"/>
    <w:rsid w:val="00AB0D3E"/>
    <w:rsid w:val="00AB4EA5"/>
    <w:rsid w:val="00AC0C91"/>
    <w:rsid w:val="00AC38AE"/>
    <w:rsid w:val="00AC724B"/>
    <w:rsid w:val="00AD25D4"/>
    <w:rsid w:val="00AD4087"/>
    <w:rsid w:val="00AE2775"/>
    <w:rsid w:val="00B04B15"/>
    <w:rsid w:val="00B06493"/>
    <w:rsid w:val="00B24C80"/>
    <w:rsid w:val="00B34AB1"/>
    <w:rsid w:val="00B3543F"/>
    <w:rsid w:val="00B47745"/>
    <w:rsid w:val="00B54B4E"/>
    <w:rsid w:val="00B5701E"/>
    <w:rsid w:val="00B613F6"/>
    <w:rsid w:val="00B649D2"/>
    <w:rsid w:val="00B82DE8"/>
    <w:rsid w:val="00B84704"/>
    <w:rsid w:val="00B87145"/>
    <w:rsid w:val="00B92AE2"/>
    <w:rsid w:val="00B9570D"/>
    <w:rsid w:val="00B96B43"/>
    <w:rsid w:val="00BA4A04"/>
    <w:rsid w:val="00BA4BB4"/>
    <w:rsid w:val="00BA58D1"/>
    <w:rsid w:val="00BB177B"/>
    <w:rsid w:val="00BB71FB"/>
    <w:rsid w:val="00BC4BC6"/>
    <w:rsid w:val="00BE1B55"/>
    <w:rsid w:val="00BE465B"/>
    <w:rsid w:val="00BF267F"/>
    <w:rsid w:val="00BF4D2B"/>
    <w:rsid w:val="00C136AA"/>
    <w:rsid w:val="00C16DA7"/>
    <w:rsid w:val="00C1725E"/>
    <w:rsid w:val="00C21C33"/>
    <w:rsid w:val="00C2685D"/>
    <w:rsid w:val="00C4401E"/>
    <w:rsid w:val="00C45D1E"/>
    <w:rsid w:val="00C472EB"/>
    <w:rsid w:val="00C6252B"/>
    <w:rsid w:val="00C77F63"/>
    <w:rsid w:val="00C81EDC"/>
    <w:rsid w:val="00C860DA"/>
    <w:rsid w:val="00C93324"/>
    <w:rsid w:val="00CA3625"/>
    <w:rsid w:val="00CA74C1"/>
    <w:rsid w:val="00CB50CA"/>
    <w:rsid w:val="00CF4A9E"/>
    <w:rsid w:val="00CF61CA"/>
    <w:rsid w:val="00D016CC"/>
    <w:rsid w:val="00D07E9E"/>
    <w:rsid w:val="00D2092F"/>
    <w:rsid w:val="00D2321D"/>
    <w:rsid w:val="00D3135E"/>
    <w:rsid w:val="00D341B1"/>
    <w:rsid w:val="00D45143"/>
    <w:rsid w:val="00D66ACE"/>
    <w:rsid w:val="00D727F1"/>
    <w:rsid w:val="00D734EF"/>
    <w:rsid w:val="00D76062"/>
    <w:rsid w:val="00D76925"/>
    <w:rsid w:val="00D77B18"/>
    <w:rsid w:val="00D8056A"/>
    <w:rsid w:val="00D8414D"/>
    <w:rsid w:val="00D90024"/>
    <w:rsid w:val="00D928EB"/>
    <w:rsid w:val="00D97861"/>
    <w:rsid w:val="00DA4AE3"/>
    <w:rsid w:val="00DC6E28"/>
    <w:rsid w:val="00DD18C6"/>
    <w:rsid w:val="00DD2117"/>
    <w:rsid w:val="00DD2929"/>
    <w:rsid w:val="00DD64D1"/>
    <w:rsid w:val="00DE29ED"/>
    <w:rsid w:val="00DE4A1B"/>
    <w:rsid w:val="00DE5F2A"/>
    <w:rsid w:val="00DF627C"/>
    <w:rsid w:val="00DF7096"/>
    <w:rsid w:val="00DF7963"/>
    <w:rsid w:val="00E006AE"/>
    <w:rsid w:val="00E01813"/>
    <w:rsid w:val="00E03D20"/>
    <w:rsid w:val="00E04884"/>
    <w:rsid w:val="00E05161"/>
    <w:rsid w:val="00E071F5"/>
    <w:rsid w:val="00E1066C"/>
    <w:rsid w:val="00E11858"/>
    <w:rsid w:val="00E228BD"/>
    <w:rsid w:val="00E22F43"/>
    <w:rsid w:val="00E40505"/>
    <w:rsid w:val="00E4089F"/>
    <w:rsid w:val="00E42003"/>
    <w:rsid w:val="00E46204"/>
    <w:rsid w:val="00E67282"/>
    <w:rsid w:val="00E71A24"/>
    <w:rsid w:val="00E82F24"/>
    <w:rsid w:val="00E92D47"/>
    <w:rsid w:val="00EA3C92"/>
    <w:rsid w:val="00EB18CD"/>
    <w:rsid w:val="00EB7785"/>
    <w:rsid w:val="00EC6ABD"/>
    <w:rsid w:val="00ED10F0"/>
    <w:rsid w:val="00ED1EC8"/>
    <w:rsid w:val="00F06BDC"/>
    <w:rsid w:val="00F17B7C"/>
    <w:rsid w:val="00F32A56"/>
    <w:rsid w:val="00F4328D"/>
    <w:rsid w:val="00F45C48"/>
    <w:rsid w:val="00F55C15"/>
    <w:rsid w:val="00F578DC"/>
    <w:rsid w:val="00F654C6"/>
    <w:rsid w:val="00F7034E"/>
    <w:rsid w:val="00F76A0D"/>
    <w:rsid w:val="00F8456E"/>
    <w:rsid w:val="00F85FFA"/>
    <w:rsid w:val="00F8642C"/>
    <w:rsid w:val="00F90ACB"/>
    <w:rsid w:val="00FA756D"/>
    <w:rsid w:val="00FA76CE"/>
    <w:rsid w:val="00FC130B"/>
    <w:rsid w:val="00FC1506"/>
    <w:rsid w:val="00FC310D"/>
    <w:rsid w:val="00FC7911"/>
    <w:rsid w:val="00FD40B6"/>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10CC0A"/>
  <w15:docId w15:val="{3B1EF83F-2035-457C-94EB-211D492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D20"/>
    <w:pPr>
      <w:autoSpaceDE w:val="0"/>
      <w:autoSpaceDN w:val="0"/>
      <w:adjustRightInd w:val="0"/>
    </w:pPr>
    <w:rPr>
      <w:rFonts w:ascii="Times New Roman" w:hAnsi="Times New Roman" w:cs="Times New Roman"/>
      <w:color w:val="000000"/>
      <w:szCs w:val="24"/>
    </w:rPr>
  </w:style>
  <w:style w:type="character" w:customStyle="1" w:styleId="maintext">
    <w:name w:val="maintext"/>
    <w:basedOn w:val="DefaultParagraphFont"/>
    <w:rsid w:val="00E4089F"/>
    <w:rPr>
      <w:bdr w:val="none" w:sz="0" w:space="0" w:color="auto" w:frame="1"/>
    </w:rPr>
  </w:style>
  <w:style w:type="character" w:customStyle="1" w:styleId="Heading1Char">
    <w:name w:val="Heading 1 Char"/>
    <w:basedOn w:val="DefaultParagraphFont"/>
    <w:link w:val="Heading1"/>
    <w:uiPriority w:val="9"/>
    <w:rsid w:val="00AA0101"/>
    <w:rPr>
      <w:rFonts w:asciiTheme="majorHAnsi" w:eastAsiaTheme="majorEastAsia" w:hAnsiTheme="majorHAnsi" w:cstheme="majorBidi"/>
      <w:b/>
      <w:bCs/>
      <w:color w:val="365F91" w:themeColor="accent1" w:themeShade="BF"/>
      <w:sz w:val="28"/>
      <w:szCs w:val="28"/>
    </w:rPr>
  </w:style>
  <w:style w:type="paragraph" w:customStyle="1" w:styleId="content">
    <w:name w:val="content"/>
    <w:basedOn w:val="Normal"/>
    <w:rsid w:val="00AA0101"/>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BA58D1"/>
    <w:rPr>
      <w:i/>
      <w:iCs/>
    </w:rPr>
  </w:style>
  <w:style w:type="character" w:customStyle="1" w:styleId="st1">
    <w:name w:val="st1"/>
    <w:basedOn w:val="DefaultParagraphFont"/>
    <w:rsid w:val="006D5347"/>
  </w:style>
  <w:style w:type="paragraph" w:styleId="BalloonText">
    <w:name w:val="Balloon Text"/>
    <w:basedOn w:val="Normal"/>
    <w:link w:val="BalloonTextChar"/>
    <w:uiPriority w:val="99"/>
    <w:semiHidden/>
    <w:unhideWhenUsed/>
    <w:rsid w:val="004A65F9"/>
    <w:rPr>
      <w:rFonts w:ascii="Tahoma" w:hAnsi="Tahoma" w:cs="Tahoma"/>
      <w:sz w:val="16"/>
      <w:szCs w:val="16"/>
    </w:rPr>
  </w:style>
  <w:style w:type="character" w:customStyle="1" w:styleId="BalloonTextChar">
    <w:name w:val="Balloon Text Char"/>
    <w:basedOn w:val="DefaultParagraphFont"/>
    <w:link w:val="BalloonText"/>
    <w:uiPriority w:val="99"/>
    <w:semiHidden/>
    <w:rsid w:val="004A65F9"/>
    <w:rPr>
      <w:rFonts w:ascii="Tahoma" w:hAnsi="Tahoma" w:cs="Tahoma"/>
      <w:sz w:val="16"/>
      <w:szCs w:val="16"/>
    </w:rPr>
  </w:style>
  <w:style w:type="paragraph" w:styleId="ListParagraph">
    <w:name w:val="List Paragraph"/>
    <w:basedOn w:val="Normal"/>
    <w:uiPriority w:val="34"/>
    <w:qFormat/>
    <w:rsid w:val="00A553A6"/>
    <w:pPr>
      <w:ind w:left="720"/>
      <w:contextualSpacing/>
    </w:pPr>
  </w:style>
  <w:style w:type="paragraph" w:styleId="Header">
    <w:name w:val="header"/>
    <w:basedOn w:val="Normal"/>
    <w:link w:val="HeaderChar"/>
    <w:uiPriority w:val="99"/>
    <w:unhideWhenUsed/>
    <w:rsid w:val="00AE2775"/>
    <w:pPr>
      <w:tabs>
        <w:tab w:val="center" w:pos="4680"/>
        <w:tab w:val="right" w:pos="9360"/>
      </w:tabs>
    </w:pPr>
  </w:style>
  <w:style w:type="character" w:customStyle="1" w:styleId="HeaderChar">
    <w:name w:val="Header Char"/>
    <w:basedOn w:val="DefaultParagraphFont"/>
    <w:link w:val="Header"/>
    <w:uiPriority w:val="99"/>
    <w:rsid w:val="00AE2775"/>
  </w:style>
  <w:style w:type="paragraph" w:styleId="Footer">
    <w:name w:val="footer"/>
    <w:basedOn w:val="Normal"/>
    <w:link w:val="FooterChar"/>
    <w:uiPriority w:val="99"/>
    <w:unhideWhenUsed/>
    <w:rsid w:val="00AE2775"/>
    <w:pPr>
      <w:tabs>
        <w:tab w:val="center" w:pos="4680"/>
        <w:tab w:val="right" w:pos="9360"/>
      </w:tabs>
    </w:pPr>
  </w:style>
  <w:style w:type="character" w:customStyle="1" w:styleId="FooterChar">
    <w:name w:val="Footer Char"/>
    <w:basedOn w:val="DefaultParagraphFont"/>
    <w:link w:val="Footer"/>
    <w:uiPriority w:val="99"/>
    <w:rsid w:val="00AE2775"/>
  </w:style>
  <w:style w:type="character" w:styleId="Hyperlink">
    <w:name w:val="Hyperlink"/>
    <w:basedOn w:val="DefaultParagraphFont"/>
    <w:uiPriority w:val="99"/>
    <w:unhideWhenUsed/>
    <w:rsid w:val="004710F8"/>
    <w:rPr>
      <w:color w:val="0000FF" w:themeColor="hyperlink"/>
      <w:u w:val="single"/>
    </w:rPr>
  </w:style>
  <w:style w:type="character" w:styleId="CommentReference">
    <w:name w:val="annotation reference"/>
    <w:basedOn w:val="DefaultParagraphFont"/>
    <w:uiPriority w:val="99"/>
    <w:semiHidden/>
    <w:unhideWhenUsed/>
    <w:rsid w:val="00A677BA"/>
    <w:rPr>
      <w:sz w:val="16"/>
      <w:szCs w:val="16"/>
    </w:rPr>
  </w:style>
  <w:style w:type="paragraph" w:styleId="CommentText">
    <w:name w:val="annotation text"/>
    <w:basedOn w:val="Normal"/>
    <w:link w:val="CommentTextChar"/>
    <w:uiPriority w:val="99"/>
    <w:semiHidden/>
    <w:unhideWhenUsed/>
    <w:rsid w:val="00A677BA"/>
    <w:rPr>
      <w:sz w:val="20"/>
      <w:szCs w:val="20"/>
    </w:rPr>
  </w:style>
  <w:style w:type="character" w:customStyle="1" w:styleId="CommentTextChar">
    <w:name w:val="Comment Text Char"/>
    <w:basedOn w:val="DefaultParagraphFont"/>
    <w:link w:val="CommentText"/>
    <w:uiPriority w:val="99"/>
    <w:semiHidden/>
    <w:rsid w:val="00A677BA"/>
    <w:rPr>
      <w:sz w:val="20"/>
      <w:szCs w:val="20"/>
    </w:rPr>
  </w:style>
  <w:style w:type="paragraph" w:styleId="CommentSubject">
    <w:name w:val="annotation subject"/>
    <w:basedOn w:val="CommentText"/>
    <w:next w:val="CommentText"/>
    <w:link w:val="CommentSubjectChar"/>
    <w:uiPriority w:val="99"/>
    <w:semiHidden/>
    <w:unhideWhenUsed/>
    <w:rsid w:val="00A677BA"/>
    <w:rPr>
      <w:b/>
      <w:bCs/>
    </w:rPr>
  </w:style>
  <w:style w:type="character" w:customStyle="1" w:styleId="CommentSubjectChar">
    <w:name w:val="Comment Subject Char"/>
    <w:basedOn w:val="CommentTextChar"/>
    <w:link w:val="CommentSubject"/>
    <w:uiPriority w:val="99"/>
    <w:semiHidden/>
    <w:rsid w:val="00A677BA"/>
    <w:rPr>
      <w:b/>
      <w:bCs/>
      <w:sz w:val="20"/>
      <w:szCs w:val="20"/>
    </w:rPr>
  </w:style>
  <w:style w:type="table" w:styleId="TableGrid">
    <w:name w:val="Table Grid"/>
    <w:basedOn w:val="TableNormal"/>
    <w:uiPriority w:val="59"/>
    <w:rsid w:val="001C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8529">
      <w:bodyDiv w:val="1"/>
      <w:marLeft w:val="0"/>
      <w:marRight w:val="0"/>
      <w:marTop w:val="0"/>
      <w:marBottom w:val="0"/>
      <w:divBdr>
        <w:top w:val="none" w:sz="0" w:space="0" w:color="auto"/>
        <w:left w:val="none" w:sz="0" w:space="0" w:color="auto"/>
        <w:bottom w:val="none" w:sz="0" w:space="0" w:color="auto"/>
        <w:right w:val="none" w:sz="0" w:space="0" w:color="auto"/>
      </w:divBdr>
    </w:div>
    <w:div w:id="17165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Safe.Water@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emSafe.Water@LA.GOV" TargetMode="External"/><Relationship Id="rId4" Type="http://schemas.openxmlformats.org/officeDocument/2006/relationships/settings" Target="settings.xml"/><Relationship Id="rId9" Type="http://schemas.openxmlformats.org/officeDocument/2006/relationships/hyperlink" Target="mailto:ChemSafe.Water@L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674D-8BF6-4F09-85A0-722F2C51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Cowsar</dc:creator>
  <cp:lastModifiedBy>LaKeisha Bryant (OSP)</cp:lastModifiedBy>
  <cp:revision>5</cp:revision>
  <cp:lastPrinted>2023-01-24T17:28:00Z</cp:lastPrinted>
  <dcterms:created xsi:type="dcterms:W3CDTF">2025-01-08T13:56:00Z</dcterms:created>
  <dcterms:modified xsi:type="dcterms:W3CDTF">2025-01-16T15:41:00Z</dcterms:modified>
</cp:coreProperties>
</file>