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270" w:rsidRPr="00713270" w:rsidRDefault="00C746B8" w:rsidP="00DB65C4">
      <w:pPr>
        <w:ind w:left="-90"/>
        <w:rPr>
          <w:rFonts w:ascii="Times New Roman" w:hAnsi="Times New Roman"/>
        </w:rPr>
      </w:pPr>
      <w:r>
        <w:rPr>
          <w:noProof/>
          <w:sz w:val="16"/>
        </w:rPr>
        <w:pict>
          <v:shapetype id="_x0000_t202" coordsize="21600,21600" o:spt="202" path="m,l,21600r21600,l21600,xe">
            <v:stroke joinstyle="miter"/>
            <v:path gradientshapeok="t" o:connecttype="rect"/>
          </v:shapetype>
          <v:shape id="_x0000_s1026" type="#_x0000_t202" style="position:absolute;left:0;text-align:left;margin-left:7.2pt;margin-top:18pt;width:604.8pt;height:171.95pt;z-index:-251657216;mso-wrap-edited:f;mso-position-horizontal-relative:page;mso-position-vertical-relative:page" wrapcoords="0 0 21600 0 21600 21600 0 21600 0 0" o:allowincell="f" filled="f" stroked="f">
            <v:textbox style="mso-next-textbox:#_x0000_s1026">
              <w:txbxContent>
                <w:p w:rsidR="00713270" w:rsidRDefault="00713270" w:rsidP="005253A1">
                  <w:pPr>
                    <w:tabs>
                      <w:tab w:val="right" w:pos="11520"/>
                    </w:tabs>
                    <w:jc w:val="center"/>
                    <w:rPr>
                      <w:rFonts w:ascii="Old English Text MT" w:hAnsi="Old English Text MT"/>
                      <w:szCs w:val="24"/>
                    </w:rPr>
                  </w:pPr>
                </w:p>
                <w:p w:rsidR="00713270" w:rsidRPr="001956E1" w:rsidRDefault="00713270" w:rsidP="008E1EC5">
                  <w:pPr>
                    <w:tabs>
                      <w:tab w:val="right" w:pos="11520"/>
                    </w:tabs>
                    <w:spacing w:before="60"/>
                    <w:jc w:val="center"/>
                    <w:rPr>
                      <w:rFonts w:ascii="Old English Text MT" w:hAnsi="Old English Text MT"/>
                      <w:sz w:val="30"/>
                      <w:szCs w:val="30"/>
                    </w:rPr>
                  </w:pPr>
                  <w:r w:rsidRPr="001956E1">
                    <w:rPr>
                      <w:rFonts w:ascii="Old English Text MT" w:hAnsi="Old English Text MT"/>
                      <w:sz w:val="30"/>
                      <w:szCs w:val="30"/>
                    </w:rPr>
                    <w:t xml:space="preserve">Office of </w:t>
                  </w:r>
                  <w:r>
                    <w:rPr>
                      <w:rFonts w:ascii="Old English Text MT" w:hAnsi="Old English Text MT"/>
                      <w:sz w:val="30"/>
                      <w:szCs w:val="30"/>
                    </w:rPr>
                    <w:t>State Procurement</w:t>
                  </w:r>
                </w:p>
                <w:p w:rsidR="00713270" w:rsidRPr="001956E1" w:rsidRDefault="00713270" w:rsidP="005253A1">
                  <w:pPr>
                    <w:tabs>
                      <w:tab w:val="right" w:pos="11520"/>
                    </w:tabs>
                    <w:jc w:val="center"/>
                    <w:rPr>
                      <w:rFonts w:ascii="Old English Text MT" w:hAnsi="Old English Text MT"/>
                      <w:sz w:val="26"/>
                      <w:szCs w:val="26"/>
                    </w:rPr>
                  </w:pPr>
                  <w:r w:rsidRPr="001956E1">
                    <w:rPr>
                      <w:rFonts w:ascii="Old English Text MT" w:hAnsi="Old English Text MT"/>
                      <w:sz w:val="26"/>
                      <w:szCs w:val="26"/>
                    </w:rPr>
                    <w:t>State of Louisiana</w:t>
                  </w:r>
                </w:p>
                <w:p w:rsidR="00713270" w:rsidRPr="00613189" w:rsidRDefault="00713270" w:rsidP="005253A1">
                  <w:pPr>
                    <w:tabs>
                      <w:tab w:val="right" w:pos="11520"/>
                    </w:tabs>
                    <w:jc w:val="center"/>
                    <w:rPr>
                      <w:rFonts w:ascii="Goudy Old Style" w:hAnsi="Goudy Old Style"/>
                      <w:szCs w:val="24"/>
                    </w:rPr>
                  </w:pPr>
                  <w:r w:rsidRPr="00613189">
                    <w:rPr>
                      <w:rFonts w:ascii="Goudy Old Style" w:hAnsi="Goudy Old Style"/>
                      <w:szCs w:val="24"/>
                    </w:rPr>
                    <w:t>Division of Administration</w:t>
                  </w:r>
                </w:p>
                <w:p w:rsidR="00713270" w:rsidRPr="005253A1" w:rsidRDefault="00713270">
                  <w:pPr>
                    <w:tabs>
                      <w:tab w:val="center" w:pos="5760"/>
                    </w:tabs>
                    <w:rPr>
                      <w:rFonts w:ascii="Goudy Old Style" w:hAnsi="Goudy Old Style"/>
                      <w:sz w:val="20"/>
                    </w:rPr>
                  </w:pPr>
                </w:p>
                <w:p w:rsidR="00713270" w:rsidRDefault="00C84A98" w:rsidP="005253A1">
                  <w:pPr>
                    <w:jc w:val="center"/>
                    <w:rPr>
                      <w:rFonts w:ascii="Arial" w:hAnsi="Arial"/>
                      <w:sz w:val="12"/>
                    </w:rPr>
                  </w:pPr>
                  <w:r>
                    <w:rPr>
                      <w:rFonts w:ascii="Calibri"/>
                      <w:noProof/>
                      <w:sz w:val="20"/>
                    </w:rPr>
                    <w:drawing>
                      <wp:inline distT="0" distB="0" distL="0" distR="0" wp14:anchorId="3D477935" wp14:editId="7A01BBD2">
                        <wp:extent cx="1014222" cy="1014222"/>
                        <wp:effectExtent l="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4" cstate="print"/>
                                <a:stretch>
                                  <a:fillRect/>
                                </a:stretch>
                              </pic:blipFill>
                              <pic:spPr>
                                <a:xfrm>
                                  <a:off x="0" y="0"/>
                                  <a:ext cx="1014222" cy="1014222"/>
                                </a:xfrm>
                                <a:prstGeom prst="rect">
                                  <a:avLst/>
                                </a:prstGeom>
                              </pic:spPr>
                            </pic:pic>
                          </a:graphicData>
                        </a:graphic>
                      </wp:inline>
                    </w:drawing>
                  </w:r>
                </w:p>
                <w:p w:rsidR="00713270" w:rsidRDefault="00713270">
                  <w:pPr>
                    <w:rPr>
                      <w:rFonts w:ascii="Arial" w:hAnsi="Arial"/>
                      <w:sz w:val="12"/>
                    </w:rPr>
                  </w:pPr>
                </w:p>
                <w:p w:rsidR="00713270" w:rsidRDefault="00713270">
                  <w:pPr>
                    <w:rPr>
                      <w:rFonts w:ascii="Arial" w:hAnsi="Arial"/>
                      <w:sz w:val="12"/>
                    </w:rPr>
                  </w:pPr>
                </w:p>
                <w:p w:rsidR="00713270" w:rsidRDefault="00713270">
                  <w:pPr>
                    <w:rPr>
                      <w:rFonts w:ascii="Arial" w:hAnsi="Arial"/>
                      <w:sz w:val="12"/>
                    </w:rPr>
                  </w:pPr>
                </w:p>
                <w:p w:rsidR="00713270" w:rsidRDefault="00713270" w:rsidP="005253A1">
                  <w:pPr>
                    <w:tabs>
                      <w:tab w:val="left" w:pos="960"/>
                      <w:tab w:val="left" w:pos="8880"/>
                      <w:tab w:val="left" w:pos="9540"/>
                      <w:tab w:val="right" w:pos="11520"/>
                    </w:tabs>
                    <w:rPr>
                      <w:rFonts w:ascii="Garamond" w:hAnsi="Garamond"/>
                      <w:b/>
                      <w:sz w:val="16"/>
                      <w:szCs w:val="16"/>
                    </w:rPr>
                  </w:pPr>
                </w:p>
              </w:txbxContent>
            </v:textbox>
            <w10:wrap type="through" anchorx="page" anchory="page"/>
            <w10:anchorlock/>
          </v:shape>
        </w:pict>
      </w:r>
      <w:r>
        <w:rPr>
          <w:noProof/>
          <w:sz w:val="16"/>
        </w:rPr>
        <w:pict>
          <v:shape id="_x0000_s1029" type="#_x0000_t202" style="position:absolute;left:0;text-align:left;margin-left:365.25pt;margin-top:111.6pt;width:227.6pt;height:46.05pt;z-index:251662336;mso-position-horizontal-relative:page;mso-position-vertical-relative:page" o:allowincell="f" stroked="f">
            <v:textbox style="mso-next-textbox:#_x0000_s1029">
              <w:txbxContent>
                <w:p w:rsidR="00C84A98" w:rsidRDefault="00C84A98" w:rsidP="00C84A98">
                  <w:pPr>
                    <w:autoSpaceDE w:val="0"/>
                    <w:autoSpaceDN w:val="0"/>
                    <w:adjustRightInd w:val="0"/>
                    <w:jc w:val="center"/>
                    <w:rPr>
                      <w:rFonts w:ascii="Light Roman Std" w:hAnsi="Light Roman Std" w:cs="Light Roman Std"/>
                      <w:sz w:val="21"/>
                      <w:szCs w:val="21"/>
                    </w:rPr>
                  </w:pPr>
                  <w:r>
                    <w:rPr>
                      <w:rFonts w:ascii="Light Roman Std" w:hAnsi="Light Roman Std" w:cs="Light Roman Std"/>
                      <w:sz w:val="21"/>
                      <w:szCs w:val="21"/>
                    </w:rPr>
                    <w:t xml:space="preserve">Taylor F. </w:t>
                  </w:r>
                  <w:proofErr w:type="spellStart"/>
                  <w:r>
                    <w:rPr>
                      <w:rFonts w:ascii="Light Roman Std" w:hAnsi="Light Roman Std" w:cs="Light Roman Std"/>
                      <w:sz w:val="21"/>
                      <w:szCs w:val="21"/>
                    </w:rPr>
                    <w:t>Barras</w:t>
                  </w:r>
                  <w:proofErr w:type="spellEnd"/>
                </w:p>
                <w:p w:rsidR="00C84A98" w:rsidRPr="00613189" w:rsidRDefault="00C84A98" w:rsidP="00C84A98">
                  <w:pPr>
                    <w:jc w:val="center"/>
                    <w:rPr>
                      <w:sz w:val="15"/>
                      <w:szCs w:val="15"/>
                    </w:rPr>
                  </w:pPr>
                  <w:r w:rsidRPr="00613189">
                    <w:rPr>
                      <w:rFonts w:ascii="Sackers Gothic Light AT" w:hAnsi="Sackers Gothic Light AT"/>
                      <w:b/>
                      <w:sz w:val="15"/>
                      <w:szCs w:val="15"/>
                    </w:rPr>
                    <w:t>Commissioner of Administration</w:t>
                  </w:r>
                </w:p>
                <w:p w:rsidR="00713270" w:rsidRPr="00613189" w:rsidRDefault="00713270" w:rsidP="00C84A98">
                  <w:pPr>
                    <w:jc w:val="center"/>
                    <w:rPr>
                      <w:sz w:val="15"/>
                      <w:szCs w:val="15"/>
                    </w:rPr>
                  </w:pPr>
                </w:p>
              </w:txbxContent>
            </v:textbox>
            <w10:wrap anchorx="page" anchory="page"/>
            <w10:anchorlock/>
          </v:shape>
        </w:pict>
      </w:r>
      <w:r>
        <w:rPr>
          <w:noProof/>
          <w:sz w:val="16"/>
        </w:rPr>
        <w:pict>
          <v:shape id="_x0000_s1028" type="#_x0000_t202" style="position:absolute;left:0;text-align:left;margin-left:37.45pt;margin-top:111.6pt;width:141pt;height:31.5pt;z-index:251661312;mso-position-horizontal-relative:page;mso-position-vertical-relative:page" o:allowincell="f" stroked="f">
            <v:textbox style="mso-next-textbox:#_x0000_s1028">
              <w:txbxContent>
                <w:p w:rsidR="00C84A98" w:rsidRDefault="00C84A98" w:rsidP="00C84A98">
                  <w:pPr>
                    <w:autoSpaceDE w:val="0"/>
                    <w:autoSpaceDN w:val="0"/>
                    <w:adjustRightInd w:val="0"/>
                    <w:jc w:val="center"/>
                    <w:rPr>
                      <w:rFonts w:ascii="Light Roman Std" w:hAnsi="Light Roman Std" w:cs="Light Roman Std"/>
                      <w:sz w:val="20"/>
                    </w:rPr>
                  </w:pPr>
                  <w:r>
                    <w:rPr>
                      <w:rFonts w:ascii="Light Roman Std" w:hAnsi="Light Roman Std" w:cs="Light Roman Std"/>
                      <w:sz w:val="20"/>
                    </w:rPr>
                    <w:t>Jeff Landry</w:t>
                  </w:r>
                </w:p>
                <w:p w:rsidR="00713270" w:rsidRDefault="00C84A98" w:rsidP="00C84A98">
                  <w:pPr>
                    <w:jc w:val="center"/>
                  </w:pPr>
                  <w:r>
                    <w:rPr>
                      <w:rFonts w:ascii="Sackers Gothic Medium" w:hAnsi="Sackers Gothic Medium" w:cs="Sackers Gothic Medium"/>
                      <w:sz w:val="20"/>
                    </w:rPr>
                    <w:t>Governor</w:t>
                  </w:r>
                </w:p>
              </w:txbxContent>
            </v:textbox>
            <w10:wrap anchorx="page" anchory="page"/>
            <w10:anchorlock/>
          </v:shape>
        </w:pict>
      </w:r>
      <w:r>
        <w:rPr>
          <w:noProof/>
          <w:sz w:val="16"/>
        </w:rPr>
        <w:pict>
          <v:shape id="_x0000_s1027" type="#_x0000_t202" style="position:absolute;left:0;text-align:left;margin-left:-51.75pt;margin-top:702.2pt;width:567.75pt;height:74.25pt;z-index:251660288;mso-position-vertical-relative:page" filled="f" stroked="f">
            <v:textbox style="mso-next-textbox:#_x0000_s1027">
              <w:txbxContent>
                <w:p w:rsidR="00713270" w:rsidRDefault="00713270" w:rsidP="0021369A">
                  <w:pPr>
                    <w:tabs>
                      <w:tab w:val="center" w:pos="4608"/>
                    </w:tabs>
                    <w:jc w:val="center"/>
                    <w:rPr>
                      <w:rFonts w:ascii="Fleur de Lys" w:hAnsi="Fleur de Lys"/>
                      <w:sz w:val="18"/>
                      <w:szCs w:val="18"/>
                    </w:rPr>
                  </w:pPr>
                  <w:r>
                    <w:rPr>
                      <w:rFonts w:ascii="Sackers Gothic Light AT" w:hAnsi="Sackers Gothic Light AT"/>
                      <w:sz w:val="14"/>
                      <w:szCs w:val="14"/>
                    </w:rPr>
                    <w:t xml:space="preserve">1201 N. Third Street  </w:t>
                  </w:r>
                  <w:r>
                    <w:rPr>
                      <w:noProof/>
                    </w:rPr>
                    <w:drawing>
                      <wp:inline distT="0" distB="0" distL="0" distR="0" wp14:anchorId="7F1F65E1" wp14:editId="3359C85B">
                        <wp:extent cx="128016" cy="164592"/>
                        <wp:effectExtent l="0" t="0" r="571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2134" cy="169887"/>
                                </a:xfrm>
                                <a:prstGeom prst="rect">
                                  <a:avLst/>
                                </a:prstGeom>
                              </pic:spPr>
                            </pic:pic>
                          </a:graphicData>
                        </a:graphic>
                      </wp:inline>
                    </w:drawing>
                  </w:r>
                  <w:r>
                    <w:rPr>
                      <w:rFonts w:ascii="Fleur de Lys" w:hAnsi="Fleur de Lys"/>
                      <w:sz w:val="18"/>
                      <w:szCs w:val="18"/>
                    </w:rPr>
                    <w:t xml:space="preserve"> </w:t>
                  </w:r>
                  <w:r w:rsidRPr="00100E74">
                    <w:rPr>
                      <w:rFonts w:ascii="Sackers Gothic Light AT" w:hAnsi="Sackers Gothic Light AT"/>
                      <w:sz w:val="14"/>
                      <w:szCs w:val="14"/>
                    </w:rPr>
                    <w:t xml:space="preserve"> </w:t>
                  </w:r>
                  <w:proofErr w:type="gramStart"/>
                  <w:r w:rsidRPr="00100E74">
                    <w:rPr>
                      <w:rFonts w:ascii="Sackers Gothic Light AT" w:hAnsi="Sackers Gothic Light AT"/>
                      <w:sz w:val="14"/>
                      <w:szCs w:val="14"/>
                    </w:rPr>
                    <w:t>Suite</w:t>
                  </w:r>
                  <w:r>
                    <w:rPr>
                      <w:rFonts w:ascii="Fleur de Lys" w:hAnsi="Fleur de Lys"/>
                      <w:sz w:val="18"/>
                      <w:szCs w:val="18"/>
                    </w:rPr>
                    <w:t xml:space="preserve"> </w:t>
                  </w:r>
                  <w:r w:rsidRPr="00100E74">
                    <w:rPr>
                      <w:rFonts w:ascii="Sackers Gothic Light AT" w:hAnsi="Sackers Gothic Light AT"/>
                      <w:sz w:val="14"/>
                      <w:szCs w:val="14"/>
                    </w:rPr>
                    <w:t xml:space="preserve"> 2</w:t>
                  </w:r>
                  <w:proofErr w:type="gramEnd"/>
                  <w:r w:rsidRPr="00100E74">
                    <w:rPr>
                      <w:rFonts w:ascii="Sackers Gothic Light AT" w:hAnsi="Sackers Gothic Light AT"/>
                      <w:sz w:val="14"/>
                      <w:szCs w:val="14"/>
                    </w:rPr>
                    <w:t>-160</w:t>
                  </w:r>
                  <w:r>
                    <w:rPr>
                      <w:rFonts w:ascii="Sackers Gothic Light AT" w:hAnsi="Sackers Gothic Light AT"/>
                      <w:sz w:val="14"/>
                      <w:szCs w:val="14"/>
                    </w:rPr>
                    <w:t xml:space="preserve">  </w:t>
                  </w:r>
                  <w:r>
                    <w:rPr>
                      <w:noProof/>
                    </w:rPr>
                    <w:drawing>
                      <wp:inline distT="0" distB="0" distL="0" distR="0" wp14:anchorId="68DC3CDE" wp14:editId="64180396">
                        <wp:extent cx="128016" cy="164592"/>
                        <wp:effectExtent l="0" t="0" r="571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2134" cy="169887"/>
                                </a:xfrm>
                                <a:prstGeom prst="rect">
                                  <a:avLst/>
                                </a:prstGeom>
                              </pic:spPr>
                            </pic:pic>
                          </a:graphicData>
                        </a:graphic>
                      </wp:inline>
                    </w:drawing>
                  </w:r>
                  <w:r w:rsidRPr="000A2883">
                    <w:rPr>
                      <w:rFonts w:ascii="Sackers Gothic Light AT" w:hAnsi="Sackers Gothic Light AT"/>
                      <w:sz w:val="15"/>
                      <w:szCs w:val="15"/>
                    </w:rPr>
                    <w:t xml:space="preserve"> </w:t>
                  </w:r>
                  <w:r>
                    <w:rPr>
                      <w:rFonts w:ascii="Sackers Gothic Light AT" w:hAnsi="Sackers Gothic Light AT"/>
                      <w:sz w:val="15"/>
                      <w:szCs w:val="15"/>
                    </w:rPr>
                    <w:t xml:space="preserve"> </w:t>
                  </w:r>
                  <w:r w:rsidRPr="00100E74">
                    <w:rPr>
                      <w:rFonts w:ascii="Sackers Gothic Light AT" w:hAnsi="Sackers Gothic Light AT"/>
                      <w:sz w:val="14"/>
                      <w:szCs w:val="14"/>
                    </w:rPr>
                    <w:t>P.O. Box 94095</w:t>
                  </w:r>
                  <w:r>
                    <w:rPr>
                      <w:rFonts w:ascii="Sackers Gothic Light AT" w:hAnsi="Sackers Gothic Light AT"/>
                      <w:sz w:val="15"/>
                      <w:szCs w:val="15"/>
                    </w:rPr>
                    <w:t xml:space="preserve">  </w:t>
                  </w:r>
                  <w:r>
                    <w:rPr>
                      <w:noProof/>
                    </w:rPr>
                    <w:drawing>
                      <wp:inline distT="0" distB="0" distL="0" distR="0" wp14:anchorId="68DC3CDE" wp14:editId="64180396">
                        <wp:extent cx="128016" cy="164592"/>
                        <wp:effectExtent l="0" t="0" r="571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2134" cy="169887"/>
                                </a:xfrm>
                                <a:prstGeom prst="rect">
                                  <a:avLst/>
                                </a:prstGeom>
                              </pic:spPr>
                            </pic:pic>
                          </a:graphicData>
                        </a:graphic>
                      </wp:inline>
                    </w:drawing>
                  </w:r>
                  <w:r w:rsidRPr="008E1EC5">
                    <w:rPr>
                      <w:rFonts w:ascii="Sackers Gothic Light AT" w:hAnsi="Sackers Gothic Light AT"/>
                      <w:sz w:val="14"/>
                      <w:szCs w:val="14"/>
                    </w:rPr>
                    <w:t xml:space="preserve"> </w:t>
                  </w:r>
                  <w:r>
                    <w:rPr>
                      <w:rFonts w:ascii="Sackers Gothic Light AT" w:hAnsi="Sackers Gothic Light AT"/>
                      <w:sz w:val="14"/>
                      <w:szCs w:val="14"/>
                    </w:rPr>
                    <w:t xml:space="preserve"> </w:t>
                  </w:r>
                  <w:r w:rsidRPr="008E1EC5">
                    <w:rPr>
                      <w:rFonts w:ascii="Sackers Gothic Light AT" w:hAnsi="Sackers Gothic Light AT"/>
                      <w:sz w:val="14"/>
                      <w:szCs w:val="14"/>
                    </w:rPr>
                    <w:t>Baton Rouge, Louisiana 70804-9095</w:t>
                  </w:r>
                  <w:r w:rsidRPr="000A2883">
                    <w:rPr>
                      <w:rFonts w:ascii="Sackers Gothic Light AT" w:hAnsi="Sackers Gothic Light AT"/>
                      <w:sz w:val="15"/>
                      <w:szCs w:val="15"/>
                    </w:rPr>
                    <w:t xml:space="preserve"> </w:t>
                  </w:r>
                  <w:r>
                    <w:rPr>
                      <w:rFonts w:ascii="Sackers Gothic Light AT" w:hAnsi="Sackers Gothic Light AT"/>
                      <w:sz w:val="15"/>
                      <w:szCs w:val="15"/>
                    </w:rPr>
                    <w:t xml:space="preserve"> </w:t>
                  </w:r>
                  <w:r>
                    <w:rPr>
                      <w:noProof/>
                    </w:rPr>
                    <w:drawing>
                      <wp:inline distT="0" distB="0" distL="0" distR="0" wp14:anchorId="68DC3CDE" wp14:editId="64180396">
                        <wp:extent cx="128016" cy="164592"/>
                        <wp:effectExtent l="0" t="0" r="571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2134" cy="169887"/>
                                </a:xfrm>
                                <a:prstGeom prst="rect">
                                  <a:avLst/>
                                </a:prstGeom>
                              </pic:spPr>
                            </pic:pic>
                          </a:graphicData>
                        </a:graphic>
                      </wp:inline>
                    </w:drawing>
                  </w:r>
                  <w:r w:rsidRPr="000A2883">
                    <w:rPr>
                      <w:rFonts w:ascii="Sackers Gothic Light AT" w:hAnsi="Sackers Gothic Light AT"/>
                      <w:sz w:val="15"/>
                      <w:szCs w:val="15"/>
                    </w:rPr>
                    <w:t xml:space="preserve"> </w:t>
                  </w:r>
                  <w:r>
                    <w:rPr>
                      <w:rFonts w:ascii="Sackers Gothic Light AT" w:hAnsi="Sackers Gothic Light AT"/>
                      <w:sz w:val="15"/>
                      <w:szCs w:val="15"/>
                    </w:rPr>
                    <w:t xml:space="preserve"> </w:t>
                  </w:r>
                  <w:r w:rsidRPr="008E1EC5">
                    <w:rPr>
                      <w:rFonts w:ascii="Sackers Gothic Light AT" w:hAnsi="Sackers Gothic Light AT"/>
                      <w:sz w:val="14"/>
                      <w:szCs w:val="14"/>
                    </w:rPr>
                    <w:t>(225) 342-</w:t>
                  </w:r>
                  <w:r>
                    <w:rPr>
                      <w:rFonts w:ascii="Sackers Gothic Light AT" w:hAnsi="Sackers Gothic Light AT"/>
                      <w:sz w:val="14"/>
                      <w:szCs w:val="14"/>
                    </w:rPr>
                    <w:t>8010</w:t>
                  </w:r>
                </w:p>
                <w:p w:rsidR="00713270" w:rsidRDefault="00713270" w:rsidP="00DE5378">
                  <w:pPr>
                    <w:tabs>
                      <w:tab w:val="center" w:pos="4608"/>
                    </w:tabs>
                    <w:jc w:val="center"/>
                    <w:rPr>
                      <w:rFonts w:ascii="Sackers Gothic Light AT" w:hAnsi="Sackers Gothic Light AT"/>
                      <w:sz w:val="14"/>
                      <w:szCs w:val="14"/>
                    </w:rPr>
                  </w:pPr>
                  <w:r>
                    <w:rPr>
                      <w:rFonts w:ascii="Sackers Gothic Light AT" w:hAnsi="Sackers Gothic Light AT"/>
                      <w:sz w:val="14"/>
                      <w:szCs w:val="14"/>
                    </w:rPr>
                    <w:t>F</w:t>
                  </w:r>
                  <w:r w:rsidRPr="008E1EC5">
                    <w:rPr>
                      <w:rFonts w:ascii="Sackers Gothic Light AT" w:hAnsi="Sackers Gothic Light AT"/>
                      <w:sz w:val="14"/>
                      <w:szCs w:val="14"/>
                    </w:rPr>
                    <w:t xml:space="preserve">ax (225) </w:t>
                  </w:r>
                  <w:r>
                    <w:rPr>
                      <w:rFonts w:ascii="Sackers Gothic Light AT" w:hAnsi="Sackers Gothic Light AT"/>
                      <w:sz w:val="14"/>
                      <w:szCs w:val="14"/>
                    </w:rPr>
                    <w:t>342-9756</w:t>
                  </w:r>
                </w:p>
                <w:p w:rsidR="00713270" w:rsidRPr="00BB3F28" w:rsidRDefault="00713270" w:rsidP="00DE5378">
                  <w:pPr>
                    <w:jc w:val="center"/>
                    <w:rPr>
                      <w:rFonts w:ascii="Sackers Gothic Light AT" w:hAnsi="Sackers Gothic Light AT"/>
                      <w:sz w:val="14"/>
                      <w:szCs w:val="14"/>
                    </w:rPr>
                  </w:pPr>
                  <w:r w:rsidRPr="00BB3F28">
                    <w:rPr>
                      <w:rFonts w:ascii="Sackers Gothic Light AT" w:hAnsi="Sackers Gothic Light AT"/>
                      <w:sz w:val="14"/>
                      <w:szCs w:val="14"/>
                    </w:rPr>
                    <w:t>OSP Help Desk Email: DOA-OSP-Helpdesk</w:t>
                  </w:r>
                  <w:r>
                    <w:rPr>
                      <w:rFonts w:ascii="Calibri" w:hAnsi="Calibri"/>
                      <w:sz w:val="14"/>
                      <w:szCs w:val="14"/>
                    </w:rPr>
                    <w:t>@</w:t>
                  </w:r>
                  <w:r w:rsidRPr="00BB3F28">
                    <w:rPr>
                      <w:rFonts w:ascii="Sackers Gothic Light AT" w:hAnsi="Sackers Gothic Light AT"/>
                      <w:sz w:val="14"/>
                      <w:szCs w:val="14"/>
                    </w:rPr>
                    <w:t>LA.Gov</w:t>
                  </w:r>
                </w:p>
                <w:p w:rsidR="00713270" w:rsidRPr="00BB3F28" w:rsidRDefault="00713270" w:rsidP="00DE5378">
                  <w:pPr>
                    <w:jc w:val="center"/>
                    <w:rPr>
                      <w:rFonts w:ascii="Sackers Gothic Light AT" w:hAnsi="Sackers Gothic Light AT"/>
                      <w:sz w:val="14"/>
                      <w:szCs w:val="14"/>
                    </w:rPr>
                  </w:pPr>
                  <w:r w:rsidRPr="00BB3F28">
                    <w:rPr>
                      <w:rFonts w:ascii="Sackers Gothic Light AT" w:hAnsi="Sackers Gothic Light AT"/>
                      <w:sz w:val="14"/>
                      <w:szCs w:val="14"/>
                    </w:rPr>
                    <w:t>DOA-Professional Contracts Helpdesk Email: DOA-PCHelpdesk</w:t>
                  </w:r>
                  <w:r>
                    <w:rPr>
                      <w:rFonts w:ascii="Calibri" w:hAnsi="Calibri"/>
                      <w:sz w:val="14"/>
                      <w:szCs w:val="14"/>
                    </w:rPr>
                    <w:t>@</w:t>
                  </w:r>
                  <w:r w:rsidRPr="00BB3F28">
                    <w:rPr>
                      <w:rFonts w:ascii="Sackers Gothic Light AT" w:hAnsi="Sackers Gothic Light AT"/>
                      <w:sz w:val="14"/>
                      <w:szCs w:val="14"/>
                    </w:rPr>
                    <w:t>LA.Gov</w:t>
                  </w:r>
                  <w:r w:rsidRPr="00BB3F28">
                    <w:rPr>
                      <w:rFonts w:ascii="Sackers Gothic Light AT" w:hAnsi="Sackers Gothic Light AT"/>
                      <w:sz w:val="14"/>
                      <w:szCs w:val="14"/>
                    </w:rPr>
                    <w:br/>
                    <w:t>Vendor Inquiry Email: Vendor_Inq</w:t>
                  </w:r>
                  <w:r>
                    <w:rPr>
                      <w:rFonts w:ascii="Calibri" w:hAnsi="Calibri"/>
                      <w:sz w:val="14"/>
                      <w:szCs w:val="14"/>
                    </w:rPr>
                    <w:t>@</w:t>
                  </w:r>
                  <w:r w:rsidRPr="00BB3F28">
                    <w:rPr>
                      <w:rFonts w:ascii="Sackers Gothic Light AT" w:hAnsi="Sackers Gothic Light AT"/>
                      <w:sz w:val="14"/>
                      <w:szCs w:val="14"/>
                    </w:rPr>
                    <w:t>LA.Gov</w:t>
                  </w:r>
                </w:p>
                <w:p w:rsidR="00713270" w:rsidRPr="008E1EC5" w:rsidRDefault="00713270" w:rsidP="00DE5378">
                  <w:pPr>
                    <w:tabs>
                      <w:tab w:val="center" w:pos="4608"/>
                    </w:tabs>
                    <w:jc w:val="center"/>
                    <w:rPr>
                      <w:rFonts w:ascii="Sackers Gothic Light AT" w:hAnsi="Sackers Gothic Light AT"/>
                      <w:sz w:val="14"/>
                      <w:szCs w:val="14"/>
                    </w:rPr>
                  </w:pPr>
                  <w:r w:rsidRPr="008E1EC5">
                    <w:rPr>
                      <w:rFonts w:ascii="Sackers Gothic Light AT" w:hAnsi="Sackers Gothic Light AT"/>
                      <w:sz w:val="14"/>
                      <w:szCs w:val="14"/>
                    </w:rPr>
                    <w:t>An Equal Opportunity Employer</w:t>
                  </w:r>
                </w:p>
              </w:txbxContent>
            </v:textbox>
            <w10:wrap anchory="page"/>
            <w10:anchorlock/>
          </v:shape>
        </w:pict>
      </w:r>
    </w:p>
    <w:p w:rsidR="00DB65C4" w:rsidRPr="00BC42F2" w:rsidRDefault="003B40DA" w:rsidP="00DB65C4">
      <w:pPr>
        <w:jc w:val="center"/>
        <w:rPr>
          <w:rFonts w:ascii="Times New Roman" w:hAnsi="Times New Roman"/>
          <w:i/>
        </w:rPr>
      </w:pPr>
      <w:r>
        <w:rPr>
          <w:rFonts w:ascii="Times New Roman" w:hAnsi="Times New Roman"/>
          <w:i/>
        </w:rPr>
        <w:t>January 7</w:t>
      </w:r>
      <w:r w:rsidR="006917ED">
        <w:rPr>
          <w:rFonts w:ascii="Times New Roman" w:hAnsi="Times New Roman"/>
          <w:i/>
        </w:rPr>
        <w:t>, 2025</w:t>
      </w:r>
    </w:p>
    <w:p w:rsidR="00DB65C4" w:rsidRPr="00BC42F2" w:rsidRDefault="00DB65C4" w:rsidP="00DB65C4">
      <w:pPr>
        <w:jc w:val="center"/>
        <w:rPr>
          <w:rFonts w:ascii="Times New Roman" w:hAnsi="Times New Roman"/>
        </w:rPr>
      </w:pPr>
    </w:p>
    <w:p w:rsidR="00DB65C4" w:rsidRPr="00BC42F2" w:rsidRDefault="00E232DB" w:rsidP="00DB65C4">
      <w:pPr>
        <w:jc w:val="center"/>
        <w:rPr>
          <w:rFonts w:ascii="Times New Roman" w:hAnsi="Times New Roman"/>
          <w:b/>
          <w:bCs/>
        </w:rPr>
      </w:pPr>
      <w:r w:rsidRPr="00BC42F2">
        <w:rPr>
          <w:rFonts w:ascii="Times New Roman" w:hAnsi="Times New Roman"/>
          <w:b/>
          <w:bCs/>
        </w:rPr>
        <w:t xml:space="preserve">ADDENDUM </w:t>
      </w:r>
      <w:r w:rsidR="006917ED">
        <w:rPr>
          <w:rFonts w:ascii="Times New Roman" w:hAnsi="Times New Roman"/>
          <w:b/>
          <w:bCs/>
        </w:rPr>
        <w:t>NO. 02</w:t>
      </w:r>
    </w:p>
    <w:p w:rsidR="00E232DB" w:rsidRPr="00BC42F2" w:rsidRDefault="00E232DB" w:rsidP="00DB65C4">
      <w:pPr>
        <w:jc w:val="center"/>
        <w:rPr>
          <w:rFonts w:ascii="Times New Roman" w:hAnsi="Times New Roman"/>
          <w:b/>
          <w:bCs/>
        </w:rPr>
      </w:pPr>
    </w:p>
    <w:p w:rsidR="00EA230E" w:rsidRPr="00BC42F2" w:rsidRDefault="00DB65C4" w:rsidP="00DB65C4">
      <w:pPr>
        <w:jc w:val="both"/>
        <w:rPr>
          <w:rFonts w:ascii="Times New Roman" w:hAnsi="Times New Roman"/>
        </w:rPr>
      </w:pPr>
      <w:r w:rsidRPr="00BC42F2">
        <w:rPr>
          <w:rFonts w:ascii="Times New Roman" w:hAnsi="Times New Roman"/>
        </w:rPr>
        <w:t xml:space="preserve">Your reference is directed to </w:t>
      </w:r>
      <w:proofErr w:type="spellStart"/>
      <w:r w:rsidRPr="00BC42F2">
        <w:rPr>
          <w:rFonts w:ascii="Times New Roman" w:hAnsi="Times New Roman"/>
        </w:rPr>
        <w:t>RFx</w:t>
      </w:r>
      <w:proofErr w:type="spellEnd"/>
      <w:r w:rsidRPr="00BC42F2">
        <w:rPr>
          <w:rFonts w:ascii="Times New Roman" w:hAnsi="Times New Roman"/>
        </w:rPr>
        <w:t xml:space="preserve"> Number 30000</w:t>
      </w:r>
      <w:r w:rsidR="00F90DD5">
        <w:rPr>
          <w:rFonts w:ascii="Times New Roman" w:hAnsi="Times New Roman"/>
        </w:rPr>
        <w:t>23983</w:t>
      </w:r>
      <w:r w:rsidRPr="00BC42F2">
        <w:rPr>
          <w:rFonts w:ascii="Times New Roman" w:hAnsi="Times New Roman"/>
        </w:rPr>
        <w:t xml:space="preserve"> for the Invitation to Bid for the State of Louisiana – </w:t>
      </w:r>
      <w:proofErr w:type="spellStart"/>
      <w:r w:rsidR="003C644F">
        <w:rPr>
          <w:rFonts w:ascii="Times New Roman" w:hAnsi="Times New Roman"/>
        </w:rPr>
        <w:t>Lightspeed</w:t>
      </w:r>
      <w:proofErr w:type="spellEnd"/>
      <w:r w:rsidR="003C644F">
        <w:rPr>
          <w:rFonts w:ascii="Times New Roman" w:hAnsi="Times New Roman"/>
        </w:rPr>
        <w:t xml:space="preserve"> BN Peripherals -</w:t>
      </w:r>
      <w:r w:rsidR="00F90DD5">
        <w:rPr>
          <w:rFonts w:ascii="Times New Roman" w:hAnsi="Times New Roman"/>
        </w:rPr>
        <w:t xml:space="preserve"> </w:t>
      </w:r>
      <w:r w:rsidR="003C644F">
        <w:rPr>
          <w:rFonts w:ascii="Times New Roman" w:hAnsi="Times New Roman"/>
        </w:rPr>
        <w:t>SW</w:t>
      </w:r>
      <w:r w:rsidR="0043549F">
        <w:rPr>
          <w:rFonts w:ascii="Times New Roman" w:hAnsi="Times New Roman"/>
          <w:i/>
        </w:rPr>
        <w:t>,</w:t>
      </w:r>
      <w:r w:rsidRPr="00BC42F2">
        <w:rPr>
          <w:rFonts w:ascii="Times New Roman" w:hAnsi="Times New Roman"/>
        </w:rPr>
        <w:t xml:space="preserve"> which is currently scheduled to open at </w:t>
      </w:r>
      <w:r w:rsidR="00E232DB" w:rsidRPr="00CC5BCC">
        <w:rPr>
          <w:rFonts w:ascii="Times New Roman" w:hAnsi="Times New Roman"/>
        </w:rPr>
        <w:t>10:00 AM</w:t>
      </w:r>
      <w:r w:rsidR="00EA230E">
        <w:rPr>
          <w:rFonts w:ascii="Times New Roman" w:hAnsi="Times New Roman"/>
        </w:rPr>
        <w:t xml:space="preserve"> C</w:t>
      </w:r>
      <w:r w:rsidR="003A588A">
        <w:rPr>
          <w:rFonts w:ascii="Times New Roman" w:hAnsi="Times New Roman"/>
        </w:rPr>
        <w:t xml:space="preserve">T on </w:t>
      </w:r>
      <w:r w:rsidR="003C644F">
        <w:rPr>
          <w:rFonts w:ascii="Times New Roman" w:hAnsi="Times New Roman"/>
        </w:rPr>
        <w:t>January 22</w:t>
      </w:r>
      <w:r w:rsidR="00E232DB" w:rsidRPr="00BC42F2">
        <w:rPr>
          <w:rFonts w:ascii="Times New Roman" w:hAnsi="Times New Roman"/>
          <w:i/>
        </w:rPr>
        <w:t xml:space="preserve">, </w:t>
      </w:r>
      <w:r w:rsidR="00E232DB" w:rsidRPr="00C84A98">
        <w:rPr>
          <w:rFonts w:ascii="Times New Roman" w:hAnsi="Times New Roman"/>
        </w:rPr>
        <w:t>20</w:t>
      </w:r>
      <w:r w:rsidR="003C644F">
        <w:rPr>
          <w:rFonts w:ascii="Times New Roman" w:hAnsi="Times New Roman"/>
        </w:rPr>
        <w:t>25</w:t>
      </w:r>
      <w:r w:rsidRPr="00C84A98">
        <w:rPr>
          <w:rFonts w:ascii="Times New Roman" w:hAnsi="Times New Roman"/>
        </w:rPr>
        <w:t>.</w:t>
      </w:r>
      <w:r w:rsidRPr="00BC42F2">
        <w:rPr>
          <w:rFonts w:ascii="Times New Roman" w:hAnsi="Times New Roman"/>
        </w:rPr>
        <w:t xml:space="preserve"> </w:t>
      </w:r>
    </w:p>
    <w:p w:rsidR="00DB65C4" w:rsidRPr="00BC42F2" w:rsidRDefault="00EA230E" w:rsidP="00EA230E">
      <w:pPr>
        <w:jc w:val="both"/>
        <w:rPr>
          <w:rFonts w:ascii="Times New Roman" w:hAnsi="Times New Roman"/>
        </w:rPr>
      </w:pPr>
      <w:r w:rsidRPr="00F64811">
        <w:rPr>
          <w:rFonts w:ascii="Times New Roman" w:hAnsi="Times New Roman"/>
        </w:rPr>
        <w:t>******************************************************************************</w:t>
      </w:r>
    </w:p>
    <w:p w:rsidR="00B739EB" w:rsidRDefault="006917ED" w:rsidP="00B739EB">
      <w:pPr>
        <w:jc w:val="both"/>
        <w:rPr>
          <w:rFonts w:ascii="Times New Roman" w:hAnsi="Times New Roman"/>
        </w:rPr>
      </w:pPr>
      <w:r>
        <w:rPr>
          <w:rFonts w:ascii="Times New Roman" w:hAnsi="Times New Roman"/>
        </w:rPr>
        <w:t>To replace Attachment B – Price Sheet in its entirety.</w:t>
      </w:r>
    </w:p>
    <w:p w:rsidR="00B739EB" w:rsidRDefault="00B739EB" w:rsidP="00DB65C4">
      <w:pPr>
        <w:jc w:val="both"/>
        <w:rPr>
          <w:rFonts w:ascii="Times New Roman" w:hAnsi="Times New Roman"/>
        </w:rPr>
      </w:pPr>
    </w:p>
    <w:p w:rsidR="00DB65C4" w:rsidRPr="00F64811" w:rsidRDefault="00DB65C4" w:rsidP="00DB65C4">
      <w:pPr>
        <w:jc w:val="both"/>
        <w:rPr>
          <w:rFonts w:ascii="Times New Roman" w:hAnsi="Times New Roman"/>
        </w:rPr>
      </w:pPr>
      <w:r w:rsidRPr="00F64811">
        <w:rPr>
          <w:rFonts w:ascii="Times New Roman" w:hAnsi="Times New Roman"/>
        </w:rPr>
        <w:t>******************************************************************************</w:t>
      </w:r>
    </w:p>
    <w:p w:rsidR="00DB65C4" w:rsidRDefault="00DB65C4" w:rsidP="00DB65C4">
      <w:pPr>
        <w:jc w:val="both"/>
        <w:rPr>
          <w:rFonts w:ascii="Times New Roman" w:hAnsi="Times New Roman"/>
        </w:rPr>
      </w:pPr>
      <w:r>
        <w:rPr>
          <w:rFonts w:ascii="Times New Roman" w:hAnsi="Times New Roman"/>
        </w:rPr>
        <w:t>All else remains as on original bid.</w:t>
      </w:r>
    </w:p>
    <w:p w:rsidR="00DB65C4" w:rsidRPr="00F64811" w:rsidRDefault="00DB65C4" w:rsidP="00DB65C4">
      <w:pPr>
        <w:jc w:val="both"/>
        <w:rPr>
          <w:rFonts w:ascii="Times New Roman" w:hAnsi="Times New Roman"/>
        </w:rPr>
      </w:pPr>
    </w:p>
    <w:p w:rsidR="00DB65C4" w:rsidRDefault="00DB65C4" w:rsidP="00DB65C4">
      <w:pPr>
        <w:jc w:val="both"/>
        <w:rPr>
          <w:rFonts w:ascii="Times New Roman" w:hAnsi="Times New Roman"/>
        </w:rPr>
      </w:pPr>
      <w:r w:rsidRPr="00F64811">
        <w:rPr>
          <w:rFonts w:ascii="Times New Roman" w:hAnsi="Times New Roman"/>
        </w:rPr>
        <w:t>******************************************************************************</w:t>
      </w:r>
    </w:p>
    <w:p w:rsidR="00DB65C4" w:rsidRPr="00DB65C4" w:rsidRDefault="00DB65C4" w:rsidP="00DB65C4">
      <w:pPr>
        <w:jc w:val="both"/>
        <w:rPr>
          <w:rFonts w:ascii="Times New Roman" w:hAnsi="Times New Roman"/>
          <w:sz w:val="20"/>
        </w:rPr>
      </w:pPr>
    </w:p>
    <w:p w:rsidR="00DB65C4" w:rsidRPr="00DB65C4" w:rsidRDefault="00DB65C4" w:rsidP="00DB65C4">
      <w:pPr>
        <w:rPr>
          <w:rFonts w:ascii="Times New Roman" w:hAnsi="Times New Roman"/>
          <w:sz w:val="20"/>
        </w:rPr>
      </w:pPr>
    </w:p>
    <w:p w:rsidR="00DB65C4" w:rsidRDefault="00DB65C4" w:rsidP="00DB65C4">
      <w:pPr>
        <w:jc w:val="both"/>
        <w:rPr>
          <w:rFonts w:ascii="Times New Roman" w:hAnsi="Times New Roman"/>
          <w:b/>
          <w:bCs/>
          <w:caps/>
        </w:rPr>
      </w:pPr>
      <w:r>
        <w:rPr>
          <w:rFonts w:ascii="Times New Roman" w:hAnsi="Times New Roman"/>
          <w:b/>
          <w:bCs/>
          <w:caps/>
        </w:rPr>
        <w:t>This addendum is hereby officially made a part of the referenced SOLICITATION.</w:t>
      </w:r>
    </w:p>
    <w:p w:rsidR="00DB65C4" w:rsidRPr="00DB65C4" w:rsidRDefault="00DB65C4" w:rsidP="00DB65C4">
      <w:pPr>
        <w:jc w:val="both"/>
        <w:rPr>
          <w:rFonts w:ascii="Times New Roman" w:hAnsi="Times New Roman"/>
          <w:caps/>
          <w:sz w:val="20"/>
        </w:rPr>
      </w:pPr>
    </w:p>
    <w:p w:rsidR="00DB65C4" w:rsidRPr="00DB65C4" w:rsidRDefault="00DB65C4" w:rsidP="00DB65C4">
      <w:pPr>
        <w:jc w:val="both"/>
        <w:rPr>
          <w:rFonts w:ascii="Times New Roman" w:hAnsi="Times New Roman"/>
          <w:caps/>
          <w:sz w:val="20"/>
        </w:rPr>
      </w:pPr>
    </w:p>
    <w:p w:rsidR="00DB65C4" w:rsidRDefault="00DB65C4" w:rsidP="00DB65C4">
      <w:pPr>
        <w:jc w:val="both"/>
        <w:rPr>
          <w:rFonts w:ascii="Times New Roman" w:hAnsi="Times New Roman"/>
        </w:rPr>
      </w:pPr>
      <w:r>
        <w:rPr>
          <w:rFonts w:ascii="Times New Roman" w:hAnsi="Times New Roman"/>
          <w:b/>
          <w:bCs/>
          <w:caps/>
          <w:u w:val="single"/>
        </w:rPr>
        <w:t>ACKNOWLEDGEMENT:</w:t>
      </w:r>
      <w:r>
        <w:rPr>
          <w:rFonts w:ascii="Times New Roman" w:hAnsi="Times New Roman"/>
          <w:caps/>
        </w:rPr>
        <w:t xml:space="preserve">  </w:t>
      </w:r>
      <w:r>
        <w:rPr>
          <w:rFonts w:ascii="Times New Roman" w:hAnsi="Times New Roman"/>
        </w:rPr>
        <w:t>If you have already submitted your bid and this Addendum does not cause you to revise your bid, you should acknowledge receipt of this Addendum by identifying your business name and by signing where indicated.  You may return this Acknowledgement by mail, by hand delivery</w:t>
      </w:r>
      <w:r w:rsidR="00CC5BCC">
        <w:rPr>
          <w:rFonts w:ascii="Times New Roman" w:hAnsi="Times New Roman"/>
        </w:rPr>
        <w:t xml:space="preserve"> or courier</w:t>
      </w:r>
      <w:r>
        <w:rPr>
          <w:rFonts w:ascii="Times New Roman" w:hAnsi="Times New Roman"/>
        </w:rPr>
        <w:t xml:space="preserve"> to: </w:t>
      </w:r>
      <w:r w:rsidR="00CC5BCC">
        <w:rPr>
          <w:rFonts w:ascii="Times New Roman" w:hAnsi="Times New Roman"/>
        </w:rPr>
        <w:t>Office of State Procurement,</w:t>
      </w:r>
      <w:r>
        <w:rPr>
          <w:rFonts w:ascii="Times New Roman" w:hAnsi="Times New Roman"/>
        </w:rPr>
        <w:t xml:space="preserve"> 1201 N. 3</w:t>
      </w:r>
      <w:r>
        <w:rPr>
          <w:rFonts w:ascii="Times New Roman" w:hAnsi="Times New Roman"/>
          <w:vertAlign w:val="superscript"/>
        </w:rPr>
        <w:t>rd</w:t>
      </w:r>
      <w:r>
        <w:rPr>
          <w:rFonts w:ascii="Times New Roman" w:hAnsi="Times New Roman"/>
        </w:rPr>
        <w:t xml:space="preserve"> Street, </w:t>
      </w:r>
      <w:r w:rsidR="00CC5BCC">
        <w:rPr>
          <w:rFonts w:ascii="Times New Roman" w:hAnsi="Times New Roman"/>
        </w:rPr>
        <w:t xml:space="preserve">Claiborne Building - </w:t>
      </w:r>
      <w:r>
        <w:rPr>
          <w:rFonts w:ascii="Times New Roman" w:hAnsi="Times New Roman"/>
        </w:rPr>
        <w:t xml:space="preserve">Ste. 2-160, Baton Rouge, LA  70802, or by fax to:  (225) 342-9756.  The State reserves the right to request a completed Acknowledgement at any time.  Failure to execute an Acknowledgement shall not relieve the </w:t>
      </w:r>
      <w:r w:rsidR="00E840A8">
        <w:rPr>
          <w:rFonts w:ascii="Times New Roman" w:hAnsi="Times New Roman"/>
        </w:rPr>
        <w:t>bidder</w:t>
      </w:r>
      <w:r>
        <w:rPr>
          <w:rFonts w:ascii="Times New Roman" w:hAnsi="Times New Roman"/>
        </w:rPr>
        <w:t xml:space="preserve"> from complying with the terms of its </w:t>
      </w:r>
      <w:r w:rsidR="00E840A8">
        <w:rPr>
          <w:rFonts w:ascii="Times New Roman" w:hAnsi="Times New Roman"/>
        </w:rPr>
        <w:t>bid</w:t>
      </w:r>
      <w:r>
        <w:rPr>
          <w:rFonts w:ascii="Times New Roman" w:hAnsi="Times New Roman"/>
        </w:rPr>
        <w:t>.</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rPr>
      </w:pPr>
      <w:r>
        <w:rPr>
          <w:rFonts w:ascii="Times New Roman" w:hAnsi="Times New Roman"/>
        </w:rPr>
        <w:t>Addendum Acknowledged/No changes:</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rPr>
      </w:pPr>
      <w:r>
        <w:rPr>
          <w:rFonts w:ascii="Times New Roman" w:hAnsi="Times New Roman"/>
        </w:rPr>
        <w:t>For:  ________________________  By:  __________________________</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b/>
          <w:bCs/>
          <w:u w:val="single"/>
        </w:rPr>
      </w:pPr>
    </w:p>
    <w:p w:rsidR="00C746B8" w:rsidRDefault="00C746B8" w:rsidP="00DB65C4">
      <w:pPr>
        <w:jc w:val="both"/>
        <w:rPr>
          <w:rFonts w:ascii="Times New Roman" w:hAnsi="Times New Roman"/>
          <w:b/>
          <w:bCs/>
          <w:u w:val="single"/>
        </w:rPr>
      </w:pPr>
    </w:p>
    <w:p w:rsidR="00C746B8" w:rsidRDefault="00C746B8" w:rsidP="00DB65C4">
      <w:pPr>
        <w:jc w:val="both"/>
        <w:rPr>
          <w:rFonts w:ascii="Times New Roman" w:hAnsi="Times New Roman"/>
          <w:b/>
          <w:bCs/>
          <w:u w:val="single"/>
        </w:rPr>
      </w:pPr>
      <w:bookmarkStart w:id="0" w:name="_GoBack"/>
      <w:bookmarkEnd w:id="0"/>
    </w:p>
    <w:p w:rsidR="00DB65C4" w:rsidRDefault="00DB65C4" w:rsidP="00DB65C4">
      <w:pPr>
        <w:jc w:val="both"/>
        <w:rPr>
          <w:rFonts w:ascii="Times New Roman" w:hAnsi="Times New Roman"/>
          <w:b/>
          <w:bCs/>
          <w:u w:val="single"/>
        </w:rPr>
      </w:pPr>
    </w:p>
    <w:p w:rsidR="00DB65C4" w:rsidRDefault="00DB65C4" w:rsidP="00DB65C4">
      <w:pPr>
        <w:jc w:val="both"/>
        <w:rPr>
          <w:rFonts w:ascii="Times New Roman" w:hAnsi="Times New Roman"/>
        </w:rPr>
      </w:pPr>
      <w:r>
        <w:rPr>
          <w:rFonts w:ascii="Times New Roman" w:hAnsi="Times New Roman"/>
          <w:b/>
          <w:bCs/>
          <w:u w:val="single"/>
        </w:rPr>
        <w:lastRenderedPageBreak/>
        <w:t>REVISION:</w:t>
      </w:r>
      <w:r>
        <w:rPr>
          <w:rFonts w:ascii="Times New Roman" w:hAnsi="Times New Roman"/>
        </w:rPr>
        <w:t xml:space="preserve">  If you have already submitted your </w:t>
      </w:r>
      <w:r w:rsidR="00E840A8">
        <w:rPr>
          <w:rFonts w:ascii="Times New Roman" w:hAnsi="Times New Roman"/>
        </w:rPr>
        <w:t xml:space="preserve">bid </w:t>
      </w:r>
      <w:r>
        <w:rPr>
          <w:rFonts w:ascii="Times New Roman" w:hAnsi="Times New Roman"/>
        </w:rPr>
        <w:t xml:space="preserve">and this Addendum requires you to revise your </w:t>
      </w:r>
      <w:r w:rsidR="00E840A8">
        <w:rPr>
          <w:rFonts w:ascii="Times New Roman" w:hAnsi="Times New Roman"/>
        </w:rPr>
        <w:t>bid</w:t>
      </w:r>
      <w:r>
        <w:rPr>
          <w:rFonts w:ascii="Times New Roman" w:hAnsi="Times New Roman"/>
        </w:rPr>
        <w:t xml:space="preserve">, you must indicate any change(s) below, identify your business name and sign where shown.  Revisions shall be delivered prior to </w:t>
      </w:r>
      <w:r w:rsidR="00CC5BCC">
        <w:rPr>
          <w:rFonts w:ascii="Times New Roman" w:hAnsi="Times New Roman"/>
        </w:rPr>
        <w:t>bid opening by mail</w:t>
      </w:r>
      <w:r>
        <w:rPr>
          <w:rFonts w:ascii="Times New Roman" w:hAnsi="Times New Roman"/>
        </w:rPr>
        <w:t xml:space="preserve"> or by hand delivery or courier to: </w:t>
      </w:r>
      <w:r w:rsidR="00CC5BCC">
        <w:rPr>
          <w:rFonts w:ascii="Times New Roman" w:hAnsi="Times New Roman"/>
        </w:rPr>
        <w:t>Office of State Procurement,</w:t>
      </w:r>
      <w:r>
        <w:rPr>
          <w:rFonts w:ascii="Times New Roman" w:hAnsi="Times New Roman"/>
        </w:rPr>
        <w:t xml:space="preserve"> 1201 N. 3</w:t>
      </w:r>
      <w:r>
        <w:rPr>
          <w:rFonts w:ascii="Times New Roman" w:hAnsi="Times New Roman"/>
          <w:vertAlign w:val="superscript"/>
        </w:rPr>
        <w:t>rd</w:t>
      </w:r>
      <w:r>
        <w:rPr>
          <w:rFonts w:ascii="Times New Roman" w:hAnsi="Times New Roman"/>
        </w:rPr>
        <w:t xml:space="preserve"> Street, Ste. 2-160, Baton Rouge, LA  70802, and indicate the </w:t>
      </w:r>
      <w:r w:rsidR="00E840A8">
        <w:rPr>
          <w:rFonts w:ascii="Times New Roman" w:hAnsi="Times New Roman"/>
        </w:rPr>
        <w:t>RFx</w:t>
      </w:r>
      <w:r>
        <w:rPr>
          <w:rFonts w:ascii="Times New Roman" w:hAnsi="Times New Roman"/>
        </w:rPr>
        <w:t xml:space="preserve"> number and the bid opening date and time on the outside of the envelope for proper identification, or by fax to:  (225) 342-9756.  Electronic transmissions other than by fax are not being accepted at this time</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b/>
          <w:bCs/>
        </w:rPr>
      </w:pPr>
      <w:r>
        <w:rPr>
          <w:rFonts w:ascii="Times New Roman" w:hAnsi="Times New Roman"/>
          <w:b/>
          <w:bCs/>
        </w:rPr>
        <w:t xml:space="preserve">Revisions received after </w:t>
      </w:r>
      <w:r w:rsidR="00CC5BCC">
        <w:rPr>
          <w:rFonts w:ascii="Times New Roman" w:hAnsi="Times New Roman"/>
          <w:b/>
          <w:bCs/>
        </w:rPr>
        <w:t>bid</w:t>
      </w:r>
      <w:r>
        <w:rPr>
          <w:rFonts w:ascii="Times New Roman" w:hAnsi="Times New Roman"/>
          <w:b/>
          <w:bCs/>
        </w:rPr>
        <w:t xml:space="preserve"> opening shall not be considered and you shall be held to your original </w:t>
      </w:r>
      <w:r w:rsidR="00CC5BCC">
        <w:rPr>
          <w:rFonts w:ascii="Times New Roman" w:hAnsi="Times New Roman"/>
          <w:b/>
          <w:bCs/>
        </w:rPr>
        <w:t>bid</w:t>
      </w:r>
      <w:r>
        <w:rPr>
          <w:rFonts w:ascii="Times New Roman" w:hAnsi="Times New Roman"/>
          <w:b/>
          <w:bCs/>
        </w:rPr>
        <w:t>.</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rPr>
      </w:pPr>
      <w:r>
        <w:rPr>
          <w:rFonts w:ascii="Times New Roman" w:hAnsi="Times New Roman"/>
        </w:rPr>
        <w:t>Revision:</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rPr>
      </w:pPr>
      <w:r>
        <w:rPr>
          <w:rFonts w:ascii="Times New Roman" w:hAnsi="Times New Roman"/>
        </w:rPr>
        <w:t>For:  ________________________  By:  __________________________</w:t>
      </w:r>
    </w:p>
    <w:p w:rsidR="00DB65C4" w:rsidRDefault="00DB65C4" w:rsidP="00DB65C4">
      <w:pPr>
        <w:jc w:val="both"/>
        <w:rPr>
          <w:rFonts w:ascii="Times New Roman" w:hAnsi="Times New Roman"/>
        </w:rPr>
      </w:pPr>
    </w:p>
    <w:p w:rsidR="00DB65C4" w:rsidRPr="00BC42F2" w:rsidRDefault="00DB65C4" w:rsidP="00DB65C4">
      <w:pPr>
        <w:rPr>
          <w:rFonts w:ascii="Times New Roman" w:hAnsi="Times New Roman"/>
        </w:rPr>
      </w:pPr>
    </w:p>
    <w:p w:rsidR="00DB65C4" w:rsidRPr="00BC42F2" w:rsidRDefault="00DB65C4" w:rsidP="00DB65C4">
      <w:pPr>
        <w:rPr>
          <w:rFonts w:ascii="Times New Roman" w:hAnsi="Times New Roman"/>
        </w:rPr>
      </w:pPr>
      <w:r w:rsidRPr="00BC42F2">
        <w:rPr>
          <w:rFonts w:ascii="Times New Roman" w:hAnsi="Times New Roman"/>
        </w:rPr>
        <w:t>By:</w:t>
      </w:r>
      <w:r w:rsidRPr="00BC42F2">
        <w:rPr>
          <w:rFonts w:ascii="Times New Roman" w:hAnsi="Times New Roman"/>
        </w:rPr>
        <w:tab/>
      </w:r>
      <w:r w:rsidR="003A588A">
        <w:rPr>
          <w:rFonts w:ascii="Times New Roman" w:hAnsi="Times New Roman"/>
        </w:rPr>
        <w:t>Courtnee Viada</w:t>
      </w:r>
    </w:p>
    <w:p w:rsidR="00DB65C4" w:rsidRPr="00BC42F2" w:rsidRDefault="00DB65C4" w:rsidP="00DB65C4">
      <w:pPr>
        <w:rPr>
          <w:rFonts w:ascii="Times New Roman" w:hAnsi="Times New Roman"/>
        </w:rPr>
      </w:pPr>
      <w:r w:rsidRPr="00BC42F2">
        <w:rPr>
          <w:rFonts w:ascii="Times New Roman" w:hAnsi="Times New Roman"/>
        </w:rPr>
        <w:tab/>
        <w:t>Office of State Procurement</w:t>
      </w:r>
    </w:p>
    <w:p w:rsidR="00DB65C4" w:rsidRPr="00BC42F2" w:rsidRDefault="00DB65C4" w:rsidP="00DB65C4">
      <w:pPr>
        <w:rPr>
          <w:rFonts w:ascii="Times New Roman" w:hAnsi="Times New Roman"/>
        </w:rPr>
      </w:pPr>
      <w:r w:rsidRPr="00BC42F2">
        <w:rPr>
          <w:rFonts w:ascii="Times New Roman" w:hAnsi="Times New Roman"/>
        </w:rPr>
        <w:tab/>
        <w:t>Telephone No. 225-342-</w:t>
      </w:r>
      <w:r w:rsidR="003A588A">
        <w:rPr>
          <w:rFonts w:ascii="Times New Roman" w:hAnsi="Times New Roman"/>
        </w:rPr>
        <w:t>8017</w:t>
      </w:r>
    </w:p>
    <w:p w:rsidR="00450420" w:rsidRDefault="00DB65C4" w:rsidP="00713270">
      <w:pPr>
        <w:rPr>
          <w:rStyle w:val="Hyperlink"/>
        </w:rPr>
      </w:pPr>
      <w:r w:rsidRPr="00BC42F2">
        <w:rPr>
          <w:rFonts w:ascii="Times New Roman" w:hAnsi="Times New Roman"/>
        </w:rPr>
        <w:tab/>
        <w:t xml:space="preserve">Email:  </w:t>
      </w:r>
      <w:hyperlink r:id="rId6" w:history="1">
        <w:r w:rsidR="003A588A" w:rsidRPr="009B1986">
          <w:rPr>
            <w:rStyle w:val="Hyperlink"/>
          </w:rPr>
          <w:t>Courtnee.Viada@la.gov</w:t>
        </w:r>
      </w:hyperlink>
    </w:p>
    <w:p w:rsidR="00521B6D" w:rsidRDefault="00521B6D" w:rsidP="00713270">
      <w:pPr>
        <w:rPr>
          <w:rStyle w:val="Hyperlink"/>
        </w:rPr>
      </w:pPr>
    </w:p>
    <w:p w:rsidR="00450420" w:rsidRDefault="00450420" w:rsidP="00713270">
      <w:pPr>
        <w:rPr>
          <w:rFonts w:ascii="Times New Roman" w:hAnsi="Times New Roman"/>
        </w:rPr>
      </w:pPr>
    </w:p>
    <w:p w:rsidR="00450420" w:rsidRDefault="00450420" w:rsidP="00713270">
      <w:pPr>
        <w:rPr>
          <w:rFonts w:ascii="Times New Roman" w:hAnsi="Times New Roman"/>
        </w:rPr>
      </w:pPr>
    </w:p>
    <w:p w:rsidR="00450420" w:rsidRDefault="00450420" w:rsidP="00713270">
      <w:pPr>
        <w:rPr>
          <w:rFonts w:ascii="Times New Roman" w:hAnsi="Times New Roman"/>
        </w:rPr>
      </w:pPr>
    </w:p>
    <w:p w:rsidR="004D5637" w:rsidRPr="00713270" w:rsidRDefault="004D5637" w:rsidP="0064621C">
      <w:pPr>
        <w:rPr>
          <w:rFonts w:ascii="Times New Roman" w:hAnsi="Times New Roman"/>
        </w:rPr>
      </w:pPr>
    </w:p>
    <w:sectPr w:rsidR="004D5637" w:rsidRPr="00713270" w:rsidSect="00C17329">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Sackers Gothic Medium">
    <w:panose1 w:val="02000609000000000004"/>
    <w:charset w:val="00"/>
    <w:family w:val="modern"/>
    <w:pitch w:val="variable"/>
    <w:sig w:usb0="00000003" w:usb1="00000000"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70"/>
    <w:rsid w:val="00092ECE"/>
    <w:rsid w:val="000F60A6"/>
    <w:rsid w:val="00141BE1"/>
    <w:rsid w:val="00197D0F"/>
    <w:rsid w:val="001D4B95"/>
    <w:rsid w:val="00385BE9"/>
    <w:rsid w:val="003A588A"/>
    <w:rsid w:val="003A5D6F"/>
    <w:rsid w:val="003B40DA"/>
    <w:rsid w:val="003B564E"/>
    <w:rsid w:val="003C644F"/>
    <w:rsid w:val="003D366E"/>
    <w:rsid w:val="003D7C93"/>
    <w:rsid w:val="0043549F"/>
    <w:rsid w:val="00450420"/>
    <w:rsid w:val="004C0366"/>
    <w:rsid w:val="004D2139"/>
    <w:rsid w:val="004D5637"/>
    <w:rsid w:val="00521B6D"/>
    <w:rsid w:val="0052480A"/>
    <w:rsid w:val="00543253"/>
    <w:rsid w:val="005E21E3"/>
    <w:rsid w:val="00641187"/>
    <w:rsid w:val="0064621C"/>
    <w:rsid w:val="00654452"/>
    <w:rsid w:val="006917ED"/>
    <w:rsid w:val="00713270"/>
    <w:rsid w:val="0071476F"/>
    <w:rsid w:val="00727592"/>
    <w:rsid w:val="007617C8"/>
    <w:rsid w:val="007D7BFB"/>
    <w:rsid w:val="008022F1"/>
    <w:rsid w:val="00804D6D"/>
    <w:rsid w:val="008729C4"/>
    <w:rsid w:val="008B1CCF"/>
    <w:rsid w:val="00944B54"/>
    <w:rsid w:val="00950318"/>
    <w:rsid w:val="009864F1"/>
    <w:rsid w:val="009F3280"/>
    <w:rsid w:val="00A250D2"/>
    <w:rsid w:val="00A55780"/>
    <w:rsid w:val="00A66EFB"/>
    <w:rsid w:val="00A67D81"/>
    <w:rsid w:val="00A87CA3"/>
    <w:rsid w:val="00AE33A1"/>
    <w:rsid w:val="00AE36DF"/>
    <w:rsid w:val="00AF7228"/>
    <w:rsid w:val="00B739EB"/>
    <w:rsid w:val="00B8776B"/>
    <w:rsid w:val="00B9353C"/>
    <w:rsid w:val="00B96336"/>
    <w:rsid w:val="00BC42F2"/>
    <w:rsid w:val="00BD69B6"/>
    <w:rsid w:val="00BF138B"/>
    <w:rsid w:val="00C37BC0"/>
    <w:rsid w:val="00C544EF"/>
    <w:rsid w:val="00C746B8"/>
    <w:rsid w:val="00C84A98"/>
    <w:rsid w:val="00C94193"/>
    <w:rsid w:val="00CC5BCC"/>
    <w:rsid w:val="00D755B5"/>
    <w:rsid w:val="00DB65C4"/>
    <w:rsid w:val="00E232DB"/>
    <w:rsid w:val="00E72BFE"/>
    <w:rsid w:val="00E840A8"/>
    <w:rsid w:val="00EA193C"/>
    <w:rsid w:val="00EA230E"/>
    <w:rsid w:val="00ED4E48"/>
    <w:rsid w:val="00ED6A12"/>
    <w:rsid w:val="00EE16E9"/>
    <w:rsid w:val="00EF2960"/>
    <w:rsid w:val="00F6337B"/>
    <w:rsid w:val="00F90DD5"/>
    <w:rsid w:val="00FA0CC5"/>
    <w:rsid w:val="00FC1869"/>
    <w:rsid w:val="00FD35EB"/>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3957A77D"/>
  <w15:chartTrackingRefBased/>
  <w15:docId w15:val="{C31A8343-ADA2-4E49-AB3F-5BB9B437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37"/>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2F2"/>
    <w:rPr>
      <w:color w:val="0000FF" w:themeColor="hyperlink"/>
      <w:u w:val="single"/>
    </w:rPr>
  </w:style>
  <w:style w:type="paragraph" w:styleId="ListParagraph">
    <w:name w:val="List Paragraph"/>
    <w:basedOn w:val="Normal"/>
    <w:uiPriority w:val="34"/>
    <w:qFormat/>
    <w:rsid w:val="009864F1"/>
    <w:pPr>
      <w:ind w:left="720"/>
      <w:contextualSpacing/>
    </w:pPr>
  </w:style>
  <w:style w:type="paragraph" w:customStyle="1" w:styleId="Default">
    <w:name w:val="Default"/>
    <w:rsid w:val="003A5D6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29763">
      <w:bodyDiv w:val="1"/>
      <w:marLeft w:val="0"/>
      <w:marRight w:val="0"/>
      <w:marTop w:val="0"/>
      <w:marBottom w:val="0"/>
      <w:divBdr>
        <w:top w:val="none" w:sz="0" w:space="0" w:color="auto"/>
        <w:left w:val="none" w:sz="0" w:space="0" w:color="auto"/>
        <w:bottom w:val="none" w:sz="0" w:space="0" w:color="auto"/>
        <w:right w:val="none" w:sz="0" w:space="0" w:color="auto"/>
      </w:divBdr>
    </w:div>
    <w:div w:id="618610642">
      <w:bodyDiv w:val="1"/>
      <w:marLeft w:val="0"/>
      <w:marRight w:val="0"/>
      <w:marTop w:val="0"/>
      <w:marBottom w:val="0"/>
      <w:divBdr>
        <w:top w:val="none" w:sz="0" w:space="0" w:color="auto"/>
        <w:left w:val="none" w:sz="0" w:space="0" w:color="auto"/>
        <w:bottom w:val="none" w:sz="0" w:space="0" w:color="auto"/>
        <w:right w:val="none" w:sz="0" w:space="0" w:color="auto"/>
      </w:divBdr>
    </w:div>
    <w:div w:id="622880672">
      <w:bodyDiv w:val="1"/>
      <w:marLeft w:val="0"/>
      <w:marRight w:val="0"/>
      <w:marTop w:val="0"/>
      <w:marBottom w:val="0"/>
      <w:divBdr>
        <w:top w:val="none" w:sz="0" w:space="0" w:color="auto"/>
        <w:left w:val="none" w:sz="0" w:space="0" w:color="auto"/>
        <w:bottom w:val="none" w:sz="0" w:space="0" w:color="auto"/>
        <w:right w:val="none" w:sz="0" w:space="0" w:color="auto"/>
      </w:divBdr>
    </w:div>
    <w:div w:id="833107974">
      <w:bodyDiv w:val="1"/>
      <w:marLeft w:val="0"/>
      <w:marRight w:val="0"/>
      <w:marTop w:val="0"/>
      <w:marBottom w:val="0"/>
      <w:divBdr>
        <w:top w:val="none" w:sz="0" w:space="0" w:color="auto"/>
        <w:left w:val="none" w:sz="0" w:space="0" w:color="auto"/>
        <w:bottom w:val="none" w:sz="0" w:space="0" w:color="auto"/>
        <w:right w:val="none" w:sz="0" w:space="0" w:color="auto"/>
      </w:divBdr>
    </w:div>
    <w:div w:id="1048263045">
      <w:bodyDiv w:val="1"/>
      <w:marLeft w:val="0"/>
      <w:marRight w:val="0"/>
      <w:marTop w:val="0"/>
      <w:marBottom w:val="0"/>
      <w:divBdr>
        <w:top w:val="none" w:sz="0" w:space="0" w:color="auto"/>
        <w:left w:val="none" w:sz="0" w:space="0" w:color="auto"/>
        <w:bottom w:val="none" w:sz="0" w:space="0" w:color="auto"/>
        <w:right w:val="none" w:sz="0" w:space="0" w:color="auto"/>
      </w:divBdr>
    </w:div>
    <w:div w:id="1327973238">
      <w:bodyDiv w:val="1"/>
      <w:marLeft w:val="0"/>
      <w:marRight w:val="0"/>
      <w:marTop w:val="0"/>
      <w:marBottom w:val="0"/>
      <w:divBdr>
        <w:top w:val="none" w:sz="0" w:space="0" w:color="auto"/>
        <w:left w:val="none" w:sz="0" w:space="0" w:color="auto"/>
        <w:bottom w:val="none" w:sz="0" w:space="0" w:color="auto"/>
        <w:right w:val="none" w:sz="0" w:space="0" w:color="auto"/>
      </w:divBdr>
    </w:div>
    <w:div w:id="1728796857">
      <w:bodyDiv w:val="1"/>
      <w:marLeft w:val="0"/>
      <w:marRight w:val="0"/>
      <w:marTop w:val="0"/>
      <w:marBottom w:val="0"/>
      <w:divBdr>
        <w:top w:val="none" w:sz="0" w:space="0" w:color="auto"/>
        <w:left w:val="none" w:sz="0" w:space="0" w:color="auto"/>
        <w:bottom w:val="none" w:sz="0" w:space="0" w:color="auto"/>
        <w:right w:val="none" w:sz="0" w:space="0" w:color="auto"/>
      </w:divBdr>
    </w:div>
    <w:div w:id="1798790436">
      <w:bodyDiv w:val="1"/>
      <w:marLeft w:val="0"/>
      <w:marRight w:val="0"/>
      <w:marTop w:val="0"/>
      <w:marBottom w:val="0"/>
      <w:divBdr>
        <w:top w:val="none" w:sz="0" w:space="0" w:color="auto"/>
        <w:left w:val="none" w:sz="0" w:space="0" w:color="auto"/>
        <w:bottom w:val="none" w:sz="0" w:space="0" w:color="auto"/>
        <w:right w:val="none" w:sz="0" w:space="0" w:color="auto"/>
      </w:divBdr>
    </w:div>
    <w:div w:id="207816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urtnee.Viada@la.gov"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321</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Louisiana Office of Technology Services</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Godwin</dc:creator>
  <cp:keywords/>
  <dc:description/>
  <cp:lastModifiedBy>Courtnee Viada</cp:lastModifiedBy>
  <cp:revision>9</cp:revision>
  <dcterms:created xsi:type="dcterms:W3CDTF">2024-12-16T14:30:00Z</dcterms:created>
  <dcterms:modified xsi:type="dcterms:W3CDTF">2025-01-07T16:33:00Z</dcterms:modified>
</cp:coreProperties>
</file>