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769B" w14:textId="77777777" w:rsidR="002C7592" w:rsidRDefault="0052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Black Bass Strain ID via Single Nucleotide Polymorphism (SNP) Genetic Sampling</w:t>
      </w:r>
    </w:p>
    <w:p w14:paraId="6ADCD8F8" w14:textId="77777777" w:rsidR="002C7592" w:rsidRDefault="0052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C98EF" w14:textId="77777777" w:rsidR="002C7592" w:rsidRDefault="00524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provide SNP Strain ID analysis services to the Louisiana Department of Wildlife and Fisheries (LDWF) on fin tissue samples of </w:t>
      </w:r>
      <w:r>
        <w:rPr>
          <w:rFonts w:ascii="Times New Roman" w:hAnsi="Times New Roman" w:cs="Times New Roman"/>
          <w:i/>
          <w:sz w:val="24"/>
          <w:szCs w:val="24"/>
        </w:rPr>
        <w:t xml:space="preserve">Micropterus  salmoides/nigricans </w:t>
      </w:r>
      <w:r>
        <w:rPr>
          <w:rFonts w:ascii="Times New Roman" w:hAnsi="Times New Roman" w:cs="Times New Roman"/>
          <w:sz w:val="24"/>
          <w:szCs w:val="24"/>
        </w:rPr>
        <w:t xml:space="preserve">to include DNA extraction from tissue samples, low density genotyping, and “strain” ID analysis (% Florida vs Northern). </w:t>
      </w:r>
    </w:p>
    <w:p w14:paraId="0803CAFD" w14:textId="77777777" w:rsidR="002C7592" w:rsidRDefault="00524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148F0E4D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Samples shall be screened for bi-allelic variation across an established panel of 35 diagnostic SNP loci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Micropterus salmoides/nigricans </w:t>
      </w:r>
      <w:r>
        <w:rPr>
          <w:rFonts w:ascii="Times New Roman" w:hAnsi="Times New Roman" w:cs="Times New Roman"/>
          <w:iCs/>
          <w:sz w:val="24"/>
          <w:szCs w:val="24"/>
        </w:rPr>
        <w:t>according to established protocol (see below).</w:t>
      </w:r>
    </w:p>
    <w:p w14:paraId="4F2450E6" w14:textId="6AE61E3D" w:rsidR="002C7592" w:rsidRPr="00EE427D" w:rsidRDefault="00524DF9" w:rsidP="00EE4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shipment of samples will require a report of the results.  The report, when complete, can be submitted to </w:t>
      </w:r>
      <w:r w:rsidR="00EE427D">
        <w:rPr>
          <w:rFonts w:ascii="Times New Roman" w:hAnsi="Times New Roman" w:cs="Times New Roman"/>
          <w:sz w:val="24"/>
          <w:szCs w:val="24"/>
        </w:rPr>
        <w:t>the District Biologist Manager who collected the data, but must also be sent to our state Black Bass Coordinator, Zane Leblanc, zleblanc@wlf.la.gov</w:t>
      </w:r>
      <w:r w:rsidRPr="00EE427D">
        <w:rPr>
          <w:rFonts w:ascii="Times New Roman" w:hAnsi="Times New Roman" w:cs="Times New Roman"/>
          <w:sz w:val="24"/>
          <w:szCs w:val="24"/>
        </w:rPr>
        <w:t xml:space="preserve">, and must at a minimum, include the following: </w:t>
      </w:r>
    </w:p>
    <w:p w14:paraId="3F4078D9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date</w:t>
      </w:r>
    </w:p>
    <w:p w14:paraId="2768E8E3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number</w:t>
      </w:r>
    </w:p>
    <w:p w14:paraId="7EBB0DF3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receipt date </w:t>
      </w:r>
    </w:p>
    <w:p w14:paraId="69131A09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samples received</w:t>
      </w:r>
    </w:p>
    <w:p w14:paraId="1CDAC7BA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14:paraId="102CF919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results</w:t>
      </w:r>
    </w:p>
    <w:p w14:paraId="285CF559" w14:textId="6BC5C107" w:rsidR="002C7592" w:rsidRDefault="00EF0D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Structure Bar </w:t>
      </w:r>
      <w:r w:rsidRPr="00EF0D6C">
        <w:rPr>
          <w:rFonts w:ascii="Times New Roman" w:hAnsi="Times New Roman" w:cs="Times New Roman"/>
          <w:sz w:val="24"/>
          <w:szCs w:val="24"/>
        </w:rPr>
        <w:t>plot</w:t>
      </w:r>
      <w:r>
        <w:rPr>
          <w:rFonts w:ascii="Times New Roman" w:hAnsi="Times New Roman" w:cs="Times New Roman"/>
          <w:sz w:val="24"/>
          <w:szCs w:val="24"/>
        </w:rPr>
        <w:t xml:space="preserve"> describing results for each population submitted in the sample</w:t>
      </w:r>
    </w:p>
    <w:p w14:paraId="113D12D4" w14:textId="77777777" w:rsidR="002C7592" w:rsidRDefault="00524D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digital Excel spreadsheet with detailed “strain” assignment results.  The Excel spreadsheet columns should include sample number or ID, M.salmoides/nigricans percentages, “strain” assignment, number of SNPs genotyped, population, and any notes. </w:t>
      </w:r>
    </w:p>
    <w:p w14:paraId="6F080B08" w14:textId="0397D053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LDWF will supp</w:t>
      </w:r>
      <w:r w:rsidR="00592DAF">
        <w:rPr>
          <w:rFonts w:ascii="Times New Roman" w:hAnsi="Times New Roman" w:cs="Times New Roman"/>
          <w:sz w:val="24"/>
          <w:szCs w:val="24"/>
        </w:rPr>
        <w:t>ly a schedule annually each October (see below)</w:t>
      </w:r>
      <w:r>
        <w:rPr>
          <w:rFonts w:ascii="Times New Roman" w:hAnsi="Times New Roman" w:cs="Times New Roman"/>
          <w:sz w:val="24"/>
          <w:szCs w:val="24"/>
        </w:rPr>
        <w:t xml:space="preserve"> with batch sizes and expected delivery dates. Any changes to the schedule will be brought to the attention of the vendor point of contact as soon as possible for scheduling.  </w:t>
      </w:r>
    </w:p>
    <w:p w14:paraId="229C1EB4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Samples will be submitted as preserved tissues in 70%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ETOH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either sample collection tubes or 96-well plates. </w:t>
      </w:r>
    </w:p>
    <w:p w14:paraId="5A52AF56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Shipping will be paid separately per batch by LDWF. LDWF staff will notify vendor with each batch if they wish to have the samples returned or not at LDWF’s expense.</w:t>
      </w:r>
    </w:p>
    <w:p w14:paraId="311D6F2D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Invoices should accompany reports for each batch of samples.</w:t>
      </w:r>
    </w:p>
    <w:p w14:paraId="513EF1A1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LDWF will retain ownership of all samples, raw data and testing reports.</w:t>
      </w:r>
    </w:p>
    <w:p w14:paraId="76C896FC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samples will vary annually but will likely be approximately 1,800 samples.</w:t>
      </w:r>
    </w:p>
    <w:p w14:paraId="08553829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Pricing for testing should be per sample for approximately 1,800 samples per year.</w:t>
      </w:r>
    </w:p>
    <w:p w14:paraId="4858450D" w14:textId="77777777" w:rsidR="002C7592" w:rsidRDefault="00524D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Sample batches should be completed and invoiced within 120 calendar days of receipt.</w:t>
      </w:r>
    </w:p>
    <w:p w14:paraId="7D5DDA7C" w14:textId="77777777" w:rsidR="002C7592" w:rsidRDefault="002C75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93D44A" w14:textId="77777777" w:rsidR="002C7592" w:rsidRDefault="002C7592"/>
    <w:p w14:paraId="0643DD7F" w14:textId="77777777" w:rsidR="002C7592" w:rsidRDefault="002C75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516F8" w14:textId="77777777" w:rsidR="002C7592" w:rsidRDefault="002C75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F0D06" w14:textId="77777777" w:rsidR="002C7592" w:rsidRDefault="00524D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SNP Testing Criteria</w:t>
      </w:r>
    </w:p>
    <w:p w14:paraId="6EC36C6E" w14:textId="77777777" w:rsidR="002C7592" w:rsidRDefault="002C75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39C37" w14:textId="77777777" w:rsidR="002C7592" w:rsidRDefault="00524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reference samples must include an adequate number of specimens (at least 30 individuals from each subspecies) that originated from appropriate waterbodies within the subspecies ranges.</w:t>
      </w:r>
    </w:p>
    <w:p w14:paraId="232CC552" w14:textId="77777777" w:rsidR="002C7592" w:rsidRDefault="00524D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minimum of 30 SNPs genotyped in the test individual.</w:t>
      </w:r>
    </w:p>
    <w:p w14:paraId="079A9E61" w14:textId="77777777" w:rsidR="002C7592" w:rsidRDefault="00524D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Bayesian analysis utilized by the program STRUCTURE is required to produce the Florida largemouth bass ancestry assignment. </w:t>
      </w:r>
    </w:p>
    <w:p w14:paraId="51BA9C92" w14:textId="77777777" w:rsidR="002C7592" w:rsidRDefault="00524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 criteria are below:</w:t>
      </w:r>
    </w:p>
    <w:p w14:paraId="7F1562C1" w14:textId="77777777" w:rsidR="002C7592" w:rsidRDefault="00524D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-Note that individual fish to have at least 98.5% Florida largemouth bass alleles/ancestry in order to be considered a pure Florida largemouth bass.</w:t>
      </w:r>
    </w:p>
    <w:p w14:paraId="727A7E85" w14:textId="77777777" w:rsidR="002C7592" w:rsidRDefault="002C7592"/>
    <w:tbl>
      <w:tblPr>
        <w:tblpPr w:leftFromText="180" w:rightFromText="180" w:vertAnchor="text" w:horzAnchor="margin" w:tblpY="398"/>
        <w:tblW w:w="9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0"/>
        <w:gridCol w:w="3285"/>
        <w:gridCol w:w="1542"/>
      </w:tblGrid>
      <w:tr w:rsidR="002C7592" w14:paraId="2D41C98C" w14:textId="77777777">
        <w:trPr>
          <w:trHeight w:val="172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B09F" w14:textId="77777777" w:rsidR="002C7592" w:rsidRDefault="002C7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8AACA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D7DB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310E8395" w14:textId="77777777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C34B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 Populations (previously genotyped)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9A005F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740CF41B" w14:textId="77777777" w:rsidR="002C7592" w:rsidRDefault="002C759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FDA778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2C7592" w14:paraId="469B27D1" w14:textId="77777777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AE91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NLMB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7B670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39CE9E49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</w:tr>
      <w:tr w:rsidR="002C7592" w14:paraId="1B5BE5BF" w14:textId="77777777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59D6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SFLB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A4993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28D55649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</w:tr>
      <w:tr w:rsidR="002C7592" w14:paraId="610F7954" w14:textId="77777777" w:rsidTr="00EF0D6C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7ED8" w14:textId="50C15DE9" w:rsidR="002C7592" w:rsidRPr="00EF0D6C" w:rsidRDefault="00EF0D6C">
            <w:pPr>
              <w:widowControl w:val="0"/>
              <w:spacing w:after="0" w:line="276" w:lineRule="auto"/>
              <w:rPr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SFLB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3EF9F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059C87B9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</w:t>
            </w:r>
          </w:p>
        </w:tc>
      </w:tr>
      <w:tr w:rsidR="002C7592" w14:paraId="5E4EEFAF" w14:textId="77777777">
        <w:trPr>
          <w:trHeight w:val="17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8367" w14:textId="45D3294A" w:rsidR="002C7592" w:rsidRDefault="002C7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F3D1DF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72C72E7A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6DDFC14F" w14:textId="77777777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0609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SNPs Genotyped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A4B9A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564345F6" w14:textId="4ABE3178" w:rsidR="002C7592" w:rsidRDefault="00955A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</w:tr>
      <w:tr w:rsidR="002C7592" w14:paraId="717382CC" w14:textId="77777777">
        <w:trPr>
          <w:trHeight w:val="20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7F6D3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 allowed for assignment analyses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4D1B3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203D79B9" w14:textId="41DDD6A9" w:rsidR="002C7592" w:rsidRDefault="00955A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</w:tr>
      <w:tr w:rsidR="002C7592" w14:paraId="12EB308A" w14:textId="77777777">
        <w:trPr>
          <w:trHeight w:val="17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CF15" w14:textId="77777777" w:rsidR="002C7592" w:rsidRDefault="002C7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AE45F3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1ABE55B8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21A8E108" w14:textId="77777777">
        <w:trPr>
          <w:trHeight w:val="17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D68D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80D6CF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41BD9924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0B401835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B969" w14:textId="39F03C7B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Length of Bur</w:t>
            </w:r>
            <w:r w:rsidR="00955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 Period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4ED240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53E4CAAC" w14:textId="3D541900" w:rsidR="002C7592" w:rsidRDefault="00955A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Iterations</w:t>
            </w:r>
          </w:p>
        </w:tc>
      </w:tr>
      <w:tr w:rsidR="002C7592" w14:paraId="5BDB4134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5610" w14:textId="1BD2FE58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MCMC Reps after Burn</w:t>
            </w:r>
            <w:r w:rsidR="00955A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in: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B6F1E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21B29A6E" w14:textId="4D3B3D78" w:rsidR="002C7592" w:rsidRDefault="00955A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Replicates</w:t>
            </w:r>
          </w:p>
        </w:tc>
      </w:tr>
      <w:tr w:rsidR="002C7592" w14:paraId="29135F97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6087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Inital ALPHA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0DF75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194938C3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2C7592" w14:paraId="20DDE625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6FA05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ALPHAMAX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28DAD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7C31E2FC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2C7592" w14:paraId="3B5EE1B8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D202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ALPHAPROPSD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F9C3F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74AA1119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2C7592" w14:paraId="2F8696AD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63094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Set K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2645A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5F508837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2C7592" w14:paraId="77F4ECEF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3C85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Iterations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193B5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361C54FB" w14:textId="2A53A149" w:rsidR="002C7592" w:rsidRDefault="00955A9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</w:tr>
      <w:tr w:rsidR="002C7592" w14:paraId="12835302" w14:textId="77777777">
        <w:trPr>
          <w:trHeight w:val="17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7F2B" w14:textId="77777777" w:rsidR="002C7592" w:rsidRDefault="002C7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454F4A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53FFAC56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23F07184" w14:textId="77777777">
        <w:trPr>
          <w:trHeight w:val="17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3F8E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D6FD88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34C9272B" w14:textId="77777777" w:rsidR="002C7592" w:rsidRDefault="002C75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92" w14:paraId="1B96F8AF" w14:textId="77777777">
        <w:trPr>
          <w:trHeight w:val="21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A713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 to SFLB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960BD" w14:textId="77777777" w:rsidR="002C7592" w:rsidRDefault="00524DF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sample average (3 iterations) to SFLB &gt; 0.9845</w:t>
            </w:r>
          </w:p>
        </w:tc>
        <w:tc>
          <w:tcPr>
            <w:tcW w:w="1542" w:type="dxa"/>
            <w:tcBorders>
              <w:bottom w:val="single" w:sz="8" w:space="0" w:color="000000"/>
              <w:right w:val="single" w:sz="8" w:space="0" w:color="000000"/>
            </w:tcBorders>
          </w:tcPr>
          <w:p w14:paraId="38010E86" w14:textId="77777777" w:rsidR="002C7592" w:rsidRDefault="00524D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Q-value</w:t>
            </w:r>
          </w:p>
        </w:tc>
      </w:tr>
    </w:tbl>
    <w:p w14:paraId="09CF086D" w14:textId="33204FA7" w:rsidR="002C7592" w:rsidRDefault="002C7592"/>
    <w:p w14:paraId="799C802C" w14:textId="62B6D8D3" w:rsidR="00592DAF" w:rsidRDefault="00592DAF"/>
    <w:p w14:paraId="1BA8FCA2" w14:textId="17938C6F" w:rsidR="00592DAF" w:rsidRDefault="00592DAF"/>
    <w:p w14:paraId="765989C0" w14:textId="77777777" w:rsidR="00592DAF" w:rsidRDefault="00592DAF" w:rsidP="00592DAF">
      <w:pPr>
        <w:pStyle w:val="Title"/>
      </w:pPr>
      <w:bookmarkStart w:id="0" w:name="_GoBack"/>
      <w:bookmarkEnd w:id="0"/>
    </w:p>
    <w:p w14:paraId="7BAF539C" w14:textId="77777777" w:rsidR="00592DAF" w:rsidRDefault="00592DAF" w:rsidP="00592DAF">
      <w:pPr>
        <w:pStyle w:val="Title"/>
      </w:pPr>
    </w:p>
    <w:p w14:paraId="46E1BD9D" w14:textId="77777777" w:rsidR="00592DAF" w:rsidRDefault="00592DAF" w:rsidP="00592DAF">
      <w:pPr>
        <w:pStyle w:val="Title"/>
      </w:pPr>
    </w:p>
    <w:p w14:paraId="0EAC471A" w14:textId="77777777" w:rsidR="00592DAF" w:rsidRDefault="00592DAF" w:rsidP="00592DAF">
      <w:pPr>
        <w:pStyle w:val="Title"/>
      </w:pPr>
    </w:p>
    <w:p w14:paraId="504D1D1E" w14:textId="2062F060" w:rsidR="00592DAF" w:rsidRDefault="00592DAF" w:rsidP="00592DAF">
      <w:pPr>
        <w:pStyle w:val="Title"/>
      </w:pPr>
      <w:r w:rsidRPr="00C373EC">
        <w:t xml:space="preserve">2025 Louisiana Department of Wildlife &amp; Fisheries Largemouth Bass </w:t>
      </w:r>
    </w:p>
    <w:p w14:paraId="3962E470" w14:textId="77777777" w:rsidR="00592DAF" w:rsidRPr="00C373EC" w:rsidRDefault="00592DAF" w:rsidP="00592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3EC">
        <w:rPr>
          <w:rFonts w:ascii="Times New Roman" w:hAnsi="Times New Roman" w:cs="Times New Roman"/>
          <w:b/>
          <w:sz w:val="24"/>
          <w:szCs w:val="24"/>
        </w:rPr>
        <w:t>Genetic Sampling Plan/Schedule</w:t>
      </w:r>
    </w:p>
    <w:p w14:paraId="21E273AE" w14:textId="77777777" w:rsidR="00592DAF" w:rsidRDefault="00592DAF" w:rsidP="00592DAF"/>
    <w:tbl>
      <w:tblPr>
        <w:tblW w:w="6832" w:type="dxa"/>
        <w:jc w:val="center"/>
        <w:tblLook w:val="04A0" w:firstRow="1" w:lastRow="0" w:firstColumn="1" w:lastColumn="0" w:noHBand="0" w:noVBand="1"/>
      </w:tblPr>
      <w:tblGrid>
        <w:gridCol w:w="1710"/>
        <w:gridCol w:w="1650"/>
        <w:gridCol w:w="1140"/>
        <w:gridCol w:w="1372"/>
        <w:gridCol w:w="960"/>
      </w:tblGrid>
      <w:tr w:rsidR="00592DAF" w:rsidRPr="00595B70" w14:paraId="28676BE5" w14:textId="77777777" w:rsidTr="005D5C3D">
        <w:trPr>
          <w:trHeight w:val="290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AFA2" w14:textId="77777777" w:rsidR="00592DAF" w:rsidRPr="00595B70" w:rsidRDefault="00592DAF" w:rsidP="005D5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9006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1C87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701FD9E5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59E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A56E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E4B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6B36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0EC68B47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9E2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B7F5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Waterbody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F6F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1DB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Season</w:t>
            </w:r>
          </w:p>
        </w:tc>
      </w:tr>
      <w:tr w:rsidR="00592DAF" w:rsidRPr="00595B70" w14:paraId="2044AB6E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DB10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E76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>ake</w:t>
            </w:r>
            <w:r w:rsidRPr="00595B70">
              <w:rPr>
                <w:rFonts w:ascii="Calibri" w:eastAsia="Times New Roman" w:hAnsi="Calibri" w:cs="Calibri"/>
                <w:color w:val="000000"/>
              </w:rPr>
              <w:t xml:space="preserve"> Bistineau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333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1FAA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Fall</w:t>
            </w:r>
          </w:p>
        </w:tc>
      </w:tr>
      <w:tr w:rsidR="00592DAF" w:rsidRPr="00595B70" w14:paraId="6F7E64B6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94E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D9B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Poverty Point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Reservoir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CF4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130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57B93547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97FF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178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Bussey Brake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EA5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98EB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Fall</w:t>
            </w:r>
          </w:p>
        </w:tc>
      </w:tr>
      <w:tr w:rsidR="00592DAF" w:rsidRPr="00595B70" w14:paraId="526148C6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0B0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F5C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Black River/Cocodrie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3CB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581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482C462B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5A2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02AA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Vernon Lake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C24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D9C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559CECFC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A0F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481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Crooked Creek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7A7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C87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498B3E44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681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0602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Bayou </w:t>
            </w:r>
            <w:r w:rsidRPr="00595B70">
              <w:rPr>
                <w:rFonts w:ascii="Calibri" w:eastAsia="Times New Roman" w:hAnsi="Calibri" w:cs="Calibri"/>
                <w:color w:val="000000"/>
              </w:rPr>
              <w:t>Bienvenue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57A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468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5FFAA6DE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14A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4E0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tchafalaya River Basin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BEB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C859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Fall</w:t>
            </w:r>
          </w:p>
        </w:tc>
      </w:tr>
      <w:tr w:rsidR="00592DAF" w:rsidRPr="00595B70" w14:paraId="72666D60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6C1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75E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Grand Bayou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Reservoir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F09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DD3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2A4335C0" w14:textId="77777777" w:rsidTr="005D5C3D">
        <w:trPr>
          <w:trHeight w:val="29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EC7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F81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Sibley Lake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154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8B6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5B70">
              <w:rPr>
                <w:rFonts w:ascii="Calibri" w:eastAsia="Times New Roman" w:hAnsi="Calibri" w:cs="Calibri"/>
                <w:color w:val="000000"/>
              </w:rPr>
              <w:t>Spring</w:t>
            </w:r>
          </w:p>
        </w:tc>
      </w:tr>
      <w:tr w:rsidR="00592DAF" w:rsidRPr="00595B70" w14:paraId="2781B036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319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9CD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A43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F1DE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4777FAFC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C3EF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A22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9D0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B00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0A41B562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0EC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3399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43B4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967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3DFD9B2B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D83696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2E4FF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F92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212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6443CA9B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9990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5B70">
              <w:rPr>
                <w:rFonts w:ascii="Calibri" w:eastAsia="Times New Roman" w:hAnsi="Calibri" w:cs="Calibri"/>
                <w:b/>
                <w:color w:val="000000"/>
              </w:rPr>
              <w:t>Spring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417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5B70">
              <w:rPr>
                <w:rFonts w:ascii="Calibri" w:eastAsia="Times New Roman" w:hAnsi="Calibri" w:cs="Calibri"/>
                <w:b/>
                <w:color w:val="000000"/>
              </w:rPr>
              <w:t>780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AD5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AD7A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78C23AA9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95F" w14:textId="77777777" w:rsidR="00592DAF" w:rsidRPr="00595B70" w:rsidRDefault="00592DAF" w:rsidP="005D5C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95B70">
              <w:rPr>
                <w:rFonts w:ascii="Calibri" w:eastAsia="Times New Roman" w:hAnsi="Calibri" w:cs="Calibri"/>
                <w:b/>
                <w:color w:val="000000"/>
              </w:rPr>
              <w:t>Fall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BEA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595B70">
              <w:rPr>
                <w:rFonts w:ascii="Calibri" w:eastAsia="Times New Roman" w:hAnsi="Calibri" w:cs="Calibri"/>
                <w:b/>
                <w:color w:val="000000"/>
              </w:rPr>
              <w:t>360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2801" w14:textId="77777777" w:rsidR="00592DAF" w:rsidRPr="00595B70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B30F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084AD110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5B08" w14:textId="77777777" w:rsidR="00592DAF" w:rsidRPr="00C373EC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373EC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22A4" w14:textId="77777777" w:rsidR="00592DAF" w:rsidRPr="00C373EC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373EC">
              <w:rPr>
                <w:rFonts w:ascii="Calibri" w:eastAsia="Times New Roman" w:hAnsi="Calibri" w:cs="Calibri"/>
                <w:b/>
                <w:color w:val="000000"/>
              </w:rPr>
              <w:t>1,140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B428" w14:textId="77777777" w:rsidR="00592DAF" w:rsidRPr="00C373EC" w:rsidRDefault="00592DAF" w:rsidP="005D5C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66C7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DAF" w:rsidRPr="00595B70" w14:paraId="1A9337DB" w14:textId="77777777" w:rsidTr="005D5C3D">
        <w:trPr>
          <w:trHeight w:val="290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1473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E1C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C4F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615E" w14:textId="77777777" w:rsidR="00592DAF" w:rsidRPr="00595B70" w:rsidRDefault="00592DAF" w:rsidP="005D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D284D5" w14:textId="77777777" w:rsidR="00592DAF" w:rsidRDefault="00592DAF" w:rsidP="00592DAF">
      <w:r>
        <w:t>Notes:</w:t>
      </w:r>
    </w:p>
    <w:p w14:paraId="533EA2AA" w14:textId="77777777" w:rsidR="00592DAF" w:rsidRDefault="00592DAF" w:rsidP="00592DAF">
      <w:pPr>
        <w:pStyle w:val="ListParagraph"/>
        <w:numPr>
          <w:ilvl w:val="0"/>
          <w:numId w:val="5"/>
        </w:numPr>
        <w:suppressAutoHyphens w:val="0"/>
      </w:pPr>
      <w:r>
        <w:t>Plan subject to changes as other needs arise.</w:t>
      </w:r>
    </w:p>
    <w:p w14:paraId="24F331F2" w14:textId="77777777" w:rsidR="00592DAF" w:rsidRDefault="00592DAF" w:rsidP="00592DAF">
      <w:pPr>
        <w:pStyle w:val="ListParagraph"/>
        <w:numPr>
          <w:ilvl w:val="0"/>
          <w:numId w:val="5"/>
        </w:numPr>
        <w:suppressAutoHyphens w:val="0"/>
      </w:pPr>
      <w:r>
        <w:t>Plan does not include sampling conducted by LDWF and submitted to testing lab by LDWF, but paid for by other entities.</w:t>
      </w:r>
    </w:p>
    <w:p w14:paraId="127F3267" w14:textId="77777777" w:rsidR="00592DAF" w:rsidRDefault="00592DAF"/>
    <w:sectPr w:rsidR="00592D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08DF" w14:textId="77777777" w:rsidR="007A10D9" w:rsidRDefault="007A10D9">
      <w:pPr>
        <w:spacing w:after="0" w:line="240" w:lineRule="auto"/>
      </w:pPr>
      <w:r>
        <w:separator/>
      </w:r>
    </w:p>
  </w:endnote>
  <w:endnote w:type="continuationSeparator" w:id="0">
    <w:p w14:paraId="6C5F662F" w14:textId="77777777" w:rsidR="007A10D9" w:rsidRDefault="007A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27690"/>
      <w:docPartObj>
        <w:docPartGallery w:val="Page Numbers (Bottom of Page)"/>
        <w:docPartUnique/>
      </w:docPartObj>
    </w:sdtPr>
    <w:sdtEndPr/>
    <w:sdtContent>
      <w:p w14:paraId="3E927D83" w14:textId="16C8FCC4" w:rsidR="002C7592" w:rsidRDefault="00524DF9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92DAF">
          <w:rPr>
            <w:noProof/>
          </w:rPr>
          <w:t>3</w:t>
        </w:r>
        <w:r>
          <w:fldChar w:fldCharType="end"/>
        </w:r>
      </w:p>
    </w:sdtContent>
  </w:sdt>
  <w:p w14:paraId="14E5DB24" w14:textId="77777777" w:rsidR="002C7592" w:rsidRDefault="002C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166D" w14:textId="77777777" w:rsidR="007A10D9" w:rsidRDefault="007A10D9">
      <w:pPr>
        <w:spacing w:after="0" w:line="240" w:lineRule="auto"/>
      </w:pPr>
      <w:r>
        <w:separator/>
      </w:r>
    </w:p>
  </w:footnote>
  <w:footnote w:type="continuationSeparator" w:id="0">
    <w:p w14:paraId="2E706B8B" w14:textId="77777777" w:rsidR="007A10D9" w:rsidRDefault="007A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642F" w14:textId="77777777" w:rsidR="002C7592" w:rsidRDefault="00524DF9">
    <w:pPr>
      <w:pStyle w:val="Header"/>
    </w:pPr>
    <w:r>
      <w:t>Attachment B – Specifications</w:t>
    </w:r>
  </w:p>
  <w:p w14:paraId="3539225C" w14:textId="77777777" w:rsidR="002C7592" w:rsidRDefault="00524DF9">
    <w:pPr>
      <w:pStyle w:val="Header"/>
    </w:pPr>
    <w:r>
      <w:t>RFx #3000023818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FE"/>
    <w:multiLevelType w:val="multilevel"/>
    <w:tmpl w:val="C6D09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C5391B"/>
    <w:multiLevelType w:val="multilevel"/>
    <w:tmpl w:val="FD5E89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0C1695"/>
    <w:multiLevelType w:val="multilevel"/>
    <w:tmpl w:val="0394B9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020D00"/>
    <w:multiLevelType w:val="hybridMultilevel"/>
    <w:tmpl w:val="CFD2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2F58"/>
    <w:multiLevelType w:val="multilevel"/>
    <w:tmpl w:val="0914A2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2"/>
    <w:rsid w:val="002C7592"/>
    <w:rsid w:val="004277EE"/>
    <w:rsid w:val="00524DF9"/>
    <w:rsid w:val="00592DAF"/>
    <w:rsid w:val="006A5BEF"/>
    <w:rsid w:val="007A10D9"/>
    <w:rsid w:val="00955A9F"/>
    <w:rsid w:val="00EE427D"/>
    <w:rsid w:val="00EF0D6C"/>
    <w:rsid w:val="00E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BCC0"/>
  <w15:docId w15:val="{ACB4A3BA-DEDF-4002-87C5-F815855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EE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48D8"/>
  </w:style>
  <w:style w:type="character" w:customStyle="1" w:styleId="FooterChar">
    <w:name w:val="Footer Char"/>
    <w:basedOn w:val="DefaultParagraphFont"/>
    <w:link w:val="Footer"/>
    <w:uiPriority w:val="99"/>
    <w:qFormat/>
    <w:rsid w:val="00C348D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6C2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F21DA"/>
    <w:pPr>
      <w:ind w:left="720"/>
      <w:contextualSpacing/>
    </w:pPr>
  </w:style>
  <w:style w:type="paragraph" w:customStyle="1" w:styleId="Default">
    <w:name w:val="Default"/>
    <w:qFormat/>
    <w:rsid w:val="007F21DA"/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348D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48D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6C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2DAF"/>
    <w:pPr>
      <w:suppressAutoHyphens w:val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2DAF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Kristi</dc:creator>
  <dc:description/>
  <cp:lastModifiedBy>Raymond McKnight (DOA)</cp:lastModifiedBy>
  <cp:revision>2</cp:revision>
  <cp:lastPrinted>2024-10-23T13:44:00Z</cp:lastPrinted>
  <dcterms:created xsi:type="dcterms:W3CDTF">2024-11-18T16:53:00Z</dcterms:created>
  <dcterms:modified xsi:type="dcterms:W3CDTF">2024-11-18T16:53:00Z</dcterms:modified>
  <dc:language>en-CA</dc:language>
</cp:coreProperties>
</file>