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bookmarkStart w:id="0" w:name="_GoBack"/>
      <w:bookmarkEnd w:id="0"/>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856F5" w:rsidRPr="00117192" w:rsidRDefault="00A84912" w:rsidP="004C459B">
      <w:pPr>
        <w:spacing w:line="240" w:lineRule="auto"/>
        <w:ind w:left="720"/>
        <w:rPr>
          <w:rFonts w:ascii="Times New Roman" w:hAnsi="Times New Roman" w:cs="Times New Roman"/>
          <w:sz w:val="24"/>
          <w:szCs w:val="24"/>
        </w:rPr>
      </w:pPr>
      <w:r w:rsidRPr="00A84912">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sidR="006D5754">
        <w:rPr>
          <w:rFonts w:ascii="Times New Roman" w:hAnsi="Times New Roman" w:cs="Times New Roman"/>
          <w:sz w:val="24"/>
          <w:szCs w:val="24"/>
        </w:rPr>
        <w:t xml:space="preserve">  </w:t>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84912">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84912">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A84912">
      <w:rPr>
        <w:rFonts w:ascii="Times New Roman" w:hAnsi="Times New Roman" w:cs="Times New Roman"/>
        <w:sz w:val="24"/>
        <w:szCs w:val="24"/>
      </w:rPr>
      <w:t>3000023755</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A84912" w:rsidRPr="00A84912">
      <w:rPr>
        <w:rFonts w:ascii="Times New Roman" w:hAnsi="Times New Roman" w:cs="Times New Roman"/>
        <w:sz w:val="24"/>
        <w:szCs w:val="24"/>
      </w:rPr>
      <w:t>*Fax Bid* Metal Materials - DOC-ACC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D5754"/>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70F59"/>
    <w:rsid w:val="00A84912"/>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B1F88C"/>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C376-9733-43BB-891E-1E63CC65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79</TotalTime>
  <Pages>6</Pages>
  <Words>2259</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23</cp:revision>
  <cp:lastPrinted>2022-08-17T21:16:00Z</cp:lastPrinted>
  <dcterms:created xsi:type="dcterms:W3CDTF">2024-01-10T16:14:00Z</dcterms:created>
  <dcterms:modified xsi:type="dcterms:W3CDTF">2024-10-10T14:07:00Z</dcterms:modified>
</cp:coreProperties>
</file>