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w:t>
      </w:r>
      <w:r w:rsidR="00E65C32">
        <w:t xml:space="preserve"> time specified on page one</w:t>
      </w:r>
      <w:r w:rsidR="00941E1A">
        <w:t xml:space="preserve">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w:t>
      </w:r>
      <w:r w:rsidR="00E65C32">
        <w:t>cessing the link on page one</w:t>
      </w:r>
      <w:r w:rsidR="00983322" w:rsidRPr="00C6062F">
        <w:t xml:space="preserve">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4E1B15" w:rsidRPr="00257A09" w:rsidRDefault="000976C7" w:rsidP="00257A09">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E65C32">
        <w:rPr>
          <w:rFonts w:ascii="Times New Roman" w:eastAsia="PMingLiU" w:hAnsi="Times New Roman" w:cs="Times New Roman"/>
          <w:sz w:val="24"/>
          <w:szCs w:val="24"/>
          <w:lang w:eastAsia="zh-TW"/>
        </w:rPr>
        <w:t>minimum of 60</w:t>
      </w:r>
      <w:r w:rsidR="002031CB" w:rsidRPr="00E215E2">
        <w:rPr>
          <w:rFonts w:ascii="Times New Roman" w:eastAsia="PMingLiU" w:hAnsi="Times New Roman" w:cs="Times New Roman"/>
          <w:sz w:val="24"/>
          <w:szCs w:val="24"/>
          <w:lang w:eastAsia="zh-TW"/>
        </w:rPr>
        <w:t xml:space="preserve">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Default="00B77FC1" w:rsidP="00EE477B">
      <w:pPr>
        <w:widowControl/>
        <w:spacing w:after="0" w:line="240" w:lineRule="auto"/>
        <w:ind w:left="540" w:hanging="540"/>
        <w:rPr>
          <w:rFonts w:ascii="Times New Roman" w:hAnsi="Times New Roman" w:cs="Times New Roman"/>
          <w:sz w:val="24"/>
          <w:szCs w:val="24"/>
        </w:rPr>
      </w:pPr>
    </w:p>
    <w:p w:rsidR="00B96A02" w:rsidRDefault="00B96A02" w:rsidP="00EE477B">
      <w:pPr>
        <w:widowControl/>
        <w:spacing w:after="0" w:line="240" w:lineRule="auto"/>
        <w:ind w:left="540" w:hanging="540"/>
        <w:rPr>
          <w:rFonts w:ascii="Times New Roman" w:hAnsi="Times New Roman" w:cs="Times New Roman"/>
          <w:sz w:val="24"/>
          <w:szCs w:val="24"/>
        </w:rPr>
      </w:pPr>
    </w:p>
    <w:p w:rsidR="00B96A02" w:rsidRDefault="00B96A02" w:rsidP="00EE477B">
      <w:pPr>
        <w:widowControl/>
        <w:spacing w:after="0" w:line="240" w:lineRule="auto"/>
        <w:ind w:left="540" w:hanging="540"/>
        <w:rPr>
          <w:rFonts w:ascii="Times New Roman" w:hAnsi="Times New Roman" w:cs="Times New Roman"/>
          <w:sz w:val="24"/>
          <w:szCs w:val="24"/>
        </w:rPr>
      </w:pPr>
    </w:p>
    <w:p w:rsidR="00B96A02" w:rsidRDefault="00B96A02" w:rsidP="00EE477B">
      <w:pPr>
        <w:widowControl/>
        <w:spacing w:after="0" w:line="240" w:lineRule="auto"/>
        <w:ind w:left="540" w:hanging="540"/>
        <w:rPr>
          <w:rFonts w:ascii="Times New Roman" w:hAnsi="Times New Roman" w:cs="Times New Roman"/>
          <w:sz w:val="24"/>
          <w:szCs w:val="24"/>
        </w:rPr>
      </w:pPr>
    </w:p>
    <w:p w:rsidR="00257A09" w:rsidRPr="00172F15" w:rsidRDefault="00257A09"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0E74DA" w:rsidRPr="000E74DA" w:rsidRDefault="000E74DA" w:rsidP="000E74D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0E74DA">
        <w:rPr>
          <w:rFonts w:ascii="Times New Roman" w:hAnsi="Times New Roman"/>
          <w:b/>
          <w:sz w:val="24"/>
          <w:szCs w:val="24"/>
        </w:rPr>
        <w:t>New FY Delivery:</w:t>
      </w:r>
    </w:p>
    <w:p w:rsidR="000E74DA" w:rsidRPr="000E74DA" w:rsidRDefault="000E74DA" w:rsidP="000E74DA">
      <w:pPr>
        <w:pStyle w:val="ListParagraph"/>
        <w:rPr>
          <w:rFonts w:ascii="Times New Roman" w:hAnsi="Times New Roman"/>
          <w:sz w:val="24"/>
          <w:szCs w:val="24"/>
        </w:rPr>
      </w:pPr>
      <w:r w:rsidRPr="000E74DA">
        <w:rPr>
          <w:rFonts w:ascii="Times New Roman" w:hAnsi="Times New Roman"/>
          <w:sz w:val="24"/>
          <w:szCs w:val="24"/>
        </w:rPr>
        <w:t xml:space="preserve">Any orders resulting from this solicitation will be paid with next fiscal year funds, if appropriated by the Legislature.  Delivery cannot be made prior to July 1, and your bid prices must be firm for acceptance </w:t>
      </w:r>
      <w:r>
        <w:rPr>
          <w:rFonts w:ascii="Times New Roman" w:hAnsi="Times New Roman"/>
          <w:sz w:val="24"/>
          <w:szCs w:val="24"/>
        </w:rPr>
        <w:t xml:space="preserve">  </w:t>
      </w:r>
      <w:r w:rsidRPr="000E74DA">
        <w:rPr>
          <w:rFonts w:ascii="Times New Roman" w:hAnsi="Times New Roman"/>
          <w:sz w:val="24"/>
          <w:szCs w:val="24"/>
        </w:rPr>
        <w:t>and delivery accordingly.</w:t>
      </w:r>
    </w:p>
    <w:p w:rsidR="000E74DA" w:rsidRDefault="000976C7" w:rsidP="000E74DA">
      <w:pPr>
        <w:pStyle w:val="ListParagraph"/>
        <w:widowControl/>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p>
    <w:p w:rsidR="00172F15" w:rsidRPr="00E215E2" w:rsidRDefault="000E74DA"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w:t>
      </w:r>
      <w:r w:rsidR="00E65C32">
        <w:rPr>
          <w:rFonts w:ascii="Times New Roman" w:eastAsia="PMingLiU" w:hAnsi="Times New Roman" w:cs="Times New Roman"/>
          <w:sz w:val="24"/>
          <w:szCs w:val="24"/>
          <w:lang w:eastAsia="zh-TW"/>
        </w:rPr>
        <w:t>ust be submitted within five</w:t>
      </w:r>
      <w:r w:rsidR="00172F15" w:rsidRPr="00E215E2">
        <w:rPr>
          <w:rFonts w:ascii="Times New Roman" w:eastAsia="PMingLiU" w:hAnsi="Times New Roman" w:cs="Times New Roman"/>
          <w:sz w:val="24"/>
          <w:szCs w:val="24"/>
          <w:lang w:eastAsia="zh-TW"/>
        </w:rPr>
        <w:t xml:space="preserve">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C60A2B"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16</w:t>
      </w:r>
      <w:r w:rsidR="00D7441A">
        <w:rPr>
          <w:rFonts w:ascii="Times New Roman" w:hAnsi="Times New Roman" w:cs="Times New Roman"/>
          <w:b/>
          <w:sz w:val="24"/>
          <w:szCs w:val="24"/>
        </w:rPr>
        <w:t xml:space="preserve">.    </w:t>
      </w:r>
      <w:r w:rsidR="000976C7">
        <w:rPr>
          <w:rFonts w:ascii="Times New Roman" w:hAnsi="Times New Roman" w:cs="Times New Roman"/>
          <w:b/>
          <w:sz w:val="24"/>
          <w:szCs w:val="24"/>
        </w:rPr>
        <w:tab/>
      </w:r>
      <w:r w:rsidR="00D7441A">
        <w:rPr>
          <w:rFonts w:ascii="Times New Roman" w:hAnsi="Times New Roman" w:cs="Times New Roman"/>
          <w:b/>
          <w:sz w:val="24"/>
          <w:szCs w:val="24"/>
        </w:rPr>
        <w:t>Contract Period:</w:t>
      </w:r>
    </w:p>
    <w:p w:rsidR="00D7441A" w:rsidRDefault="00D7441A" w:rsidP="00E65C3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w:t>
      </w:r>
      <w:r w:rsidR="00287E55">
        <w:rPr>
          <w:rFonts w:ascii="Times New Roman" w:hAnsi="Times New Roman" w:cs="Times New Roman"/>
          <w:sz w:val="24"/>
          <w:szCs w:val="24"/>
        </w:rPr>
        <w:t xml:space="preserve">for the period beginning </w:t>
      </w:r>
      <w:r w:rsidR="00E65C32">
        <w:rPr>
          <w:rFonts w:ascii="Times New Roman" w:hAnsi="Times New Roman" w:cs="Times New Roman"/>
          <w:sz w:val="24"/>
          <w:szCs w:val="24"/>
        </w:rPr>
        <w:t xml:space="preserve">July 1, 2024, or </w:t>
      </w:r>
      <w:r w:rsidR="00287E55">
        <w:rPr>
          <w:rFonts w:ascii="Times New Roman" w:hAnsi="Times New Roman" w:cs="Times New Roman"/>
          <w:sz w:val="24"/>
          <w:szCs w:val="24"/>
        </w:rPr>
        <w:t>date of award</w:t>
      </w:r>
      <w:r w:rsidR="00E65C32">
        <w:rPr>
          <w:rFonts w:ascii="Times New Roman" w:hAnsi="Times New Roman" w:cs="Times New Roman"/>
          <w:sz w:val="24"/>
          <w:szCs w:val="24"/>
        </w:rPr>
        <w:t>, whichever is later,</w:t>
      </w:r>
      <w:r w:rsidR="00287E55">
        <w:rPr>
          <w:rFonts w:ascii="Times New Roman" w:hAnsi="Times New Roman" w:cs="Times New Roman"/>
          <w:sz w:val="24"/>
          <w:szCs w:val="24"/>
        </w:rPr>
        <w:t xml:space="preserve"> </w:t>
      </w:r>
      <w:r w:rsidR="00E65C32">
        <w:rPr>
          <w:rFonts w:ascii="Times New Roman" w:hAnsi="Times New Roman" w:cs="Times New Roman"/>
          <w:sz w:val="24"/>
          <w:szCs w:val="24"/>
        </w:rPr>
        <w:t>and ending June 30, 2025</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C60A2B"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sidR="000976C7">
        <w:rPr>
          <w:rFonts w:ascii="Times New Roman" w:hAnsi="Times New Roman" w:cs="Times New Roman"/>
          <w:b/>
          <w:sz w:val="24"/>
          <w:szCs w:val="24"/>
        </w:rPr>
        <w:t xml:space="preserve">.     </w:t>
      </w:r>
      <w:r w:rsidR="000976C7">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C60A2B"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18</w:t>
      </w:r>
      <w:r w:rsidR="00483E2D">
        <w:rPr>
          <w:rFonts w:ascii="Times New Roman" w:hAnsi="Times New Roman" w:cs="Times New Roman"/>
          <w:b/>
          <w:sz w:val="24"/>
          <w:szCs w:val="24"/>
        </w:rPr>
        <w:t>.</w:t>
      </w:r>
      <w:r w:rsidR="00483E2D">
        <w:rPr>
          <w:rFonts w:ascii="Times New Roman" w:hAnsi="Times New Roman" w:cs="Times New Roman"/>
          <w:b/>
          <w:sz w:val="24"/>
          <w:szCs w:val="24"/>
        </w:rPr>
        <w:tab/>
        <w:t>Renewal Option:</w:t>
      </w:r>
    </w:p>
    <w:p w:rsidR="00D5611B" w:rsidRDefault="00E83BB9" w:rsidP="00E65C3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option of the S</w:t>
      </w:r>
      <w:r w:rsidR="00483E2D">
        <w:rPr>
          <w:rFonts w:ascii="Times New Roman" w:hAnsi="Times New Roman" w:cs="Times New Roman"/>
          <w:sz w:val="24"/>
          <w:szCs w:val="24"/>
        </w:rPr>
        <w:t>tate of Louisiana and acceptance by the contractor, this contr</w:t>
      </w:r>
      <w:r w:rsidR="00E65C32">
        <w:rPr>
          <w:rFonts w:ascii="Times New Roman" w:hAnsi="Times New Roman" w:cs="Times New Roman"/>
          <w:sz w:val="24"/>
          <w:szCs w:val="24"/>
        </w:rPr>
        <w:t>act may be extended for two additional 12</w:t>
      </w:r>
      <w:r w:rsidR="00483E2D">
        <w:rPr>
          <w:rFonts w:ascii="Times New Roman" w:hAnsi="Times New Roman" w:cs="Times New Roman"/>
          <w:sz w:val="24"/>
          <w:szCs w:val="24"/>
        </w:rPr>
        <w:t xml:space="preserve"> month periods at the same prices, terms </w:t>
      </w:r>
      <w:r w:rsidR="00E65C32">
        <w:rPr>
          <w:rFonts w:ascii="Times New Roman" w:hAnsi="Times New Roman" w:cs="Times New Roman"/>
          <w:sz w:val="24"/>
          <w:szCs w:val="24"/>
        </w:rPr>
        <w:t xml:space="preserve">and conditions. Total contract </w:t>
      </w:r>
      <w:r w:rsidR="00483E2D">
        <w:rPr>
          <w:rFonts w:ascii="Times New Roman" w:hAnsi="Times New Roman" w:cs="Times New Roman"/>
          <w:sz w:val="24"/>
          <w:szCs w:val="24"/>
        </w:rPr>
        <w:t>pe</w:t>
      </w:r>
      <w:r w:rsidR="00E65C32">
        <w:rPr>
          <w:rFonts w:ascii="Times New Roman" w:hAnsi="Times New Roman" w:cs="Times New Roman"/>
          <w:sz w:val="24"/>
          <w:szCs w:val="24"/>
        </w:rPr>
        <w:t>riod may not exceed 36</w:t>
      </w:r>
      <w:r w:rsidR="00483E2D">
        <w:rPr>
          <w:rFonts w:ascii="Times New Roman" w:hAnsi="Times New Roman" w:cs="Times New Roman"/>
          <w:sz w:val="24"/>
          <w:szCs w:val="24"/>
        </w:rPr>
        <w:t xml:space="preserve"> months. </w:t>
      </w:r>
    </w:p>
    <w:p w:rsidR="000E74DA" w:rsidRDefault="000E74DA" w:rsidP="00E65C32">
      <w:pPr>
        <w:pStyle w:val="ListParagraph"/>
        <w:spacing w:after="0" w:line="240" w:lineRule="auto"/>
        <w:jc w:val="both"/>
        <w:rPr>
          <w:rFonts w:ascii="Times New Roman" w:hAnsi="Times New Roman" w:cs="Times New Roman"/>
          <w:sz w:val="24"/>
          <w:szCs w:val="24"/>
        </w:rPr>
      </w:pPr>
    </w:p>
    <w:p w:rsidR="00792F17" w:rsidRDefault="00792F17" w:rsidP="00D5611B">
      <w:pPr>
        <w:pStyle w:val="ListParagraph"/>
        <w:spacing w:after="0" w:line="240" w:lineRule="auto"/>
        <w:ind w:left="0"/>
        <w:jc w:val="both"/>
        <w:rPr>
          <w:rFonts w:ascii="Times New Roman" w:hAnsi="Times New Roman" w:cs="Times New Roman"/>
          <w:sz w:val="24"/>
          <w:szCs w:val="24"/>
        </w:rPr>
      </w:pPr>
    </w:p>
    <w:p w:rsidR="00792F17" w:rsidRPr="007B6F6F" w:rsidRDefault="00C60A2B" w:rsidP="00792F1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19</w:t>
      </w:r>
      <w:r w:rsidR="00792F17">
        <w:rPr>
          <w:rFonts w:ascii="Times New Roman" w:hAnsi="Times New Roman" w:cs="Times New Roman"/>
          <w:b/>
          <w:sz w:val="24"/>
          <w:szCs w:val="24"/>
        </w:rPr>
        <w:t>.</w:t>
      </w:r>
      <w:r w:rsidR="00792F17">
        <w:rPr>
          <w:rFonts w:ascii="Times New Roman" w:hAnsi="Times New Roman" w:cs="Times New Roman"/>
          <w:b/>
          <w:sz w:val="24"/>
          <w:szCs w:val="24"/>
        </w:rPr>
        <w:tab/>
      </w:r>
      <w:r w:rsidR="00792F17" w:rsidRPr="007B6F6F">
        <w:rPr>
          <w:rFonts w:ascii="Times New Roman" w:hAnsi="Times New Roman" w:cs="Times New Roman"/>
          <w:b/>
          <w:sz w:val="24"/>
          <w:szCs w:val="24"/>
        </w:rPr>
        <w:t xml:space="preserve">Insurance Requirements for Contractors:  </w:t>
      </w:r>
    </w:p>
    <w:p w:rsidR="00792F17" w:rsidRPr="007B6F6F" w:rsidRDefault="00792F17" w:rsidP="00792F17">
      <w:pPr>
        <w:widowControl/>
        <w:spacing w:after="0" w:line="240" w:lineRule="auto"/>
        <w:ind w:left="72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792F17" w:rsidRPr="007B6F6F" w:rsidRDefault="00792F17" w:rsidP="00792F17">
      <w:pPr>
        <w:widowControl/>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A.</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Minimum Scope and Limits of Insurance</w:t>
      </w: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7B6F6F">
        <w:rPr>
          <w:rFonts w:ascii="Times New Roman" w:eastAsia="PMingLiU" w:hAnsi="Times New Roman" w:cs="Times New Roman"/>
          <w:sz w:val="24"/>
          <w:szCs w:val="24"/>
          <w:u w:val="single"/>
          <w:lang w:eastAsia="zh-TW"/>
        </w:rPr>
        <w:t>Workers Compensation</w:t>
      </w:r>
    </w:p>
    <w:p w:rsidR="00792F17" w:rsidRPr="007B6F6F" w:rsidRDefault="00792F17" w:rsidP="00792F17">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u w:val="single"/>
          <w:lang w:eastAsia="zh-TW"/>
        </w:rPr>
        <w:t>Commercial General Liability</w:t>
      </w:r>
    </w:p>
    <w:p w:rsidR="00792F17" w:rsidRPr="007B6F6F" w:rsidRDefault="00792F17" w:rsidP="00792F17">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u w:val="single"/>
          <w:lang w:eastAsia="zh-TW"/>
        </w:rPr>
        <w:t>Automobile Liability</w:t>
      </w:r>
    </w:p>
    <w:p w:rsidR="00792F17" w:rsidRPr="007B6F6F" w:rsidRDefault="00792F17" w:rsidP="00792F17">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7B6F6F">
        <w:rPr>
          <w:rFonts w:ascii="Times New Roman" w:eastAsia="PMingLiU" w:hAnsi="Times New Roman" w:cs="Times New Roman"/>
          <w:sz w:val="24"/>
          <w:szCs w:val="24"/>
          <w:lang w:eastAsia="zh-TW"/>
        </w:rPr>
        <w:noBreakHyphen/>
        <w:t>owned automobiles.</w:t>
      </w:r>
    </w:p>
    <w:p w:rsidR="00792F17" w:rsidRPr="007B6F6F" w:rsidRDefault="00792F17" w:rsidP="00792F17">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B.</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Deductibles and Self</w:t>
      </w:r>
      <w:r w:rsidRPr="007B6F6F">
        <w:rPr>
          <w:rFonts w:ascii="Times New Roman" w:eastAsia="PMingLiU" w:hAnsi="Times New Roman" w:cs="Times New Roman"/>
          <w:sz w:val="24"/>
          <w:szCs w:val="24"/>
          <w:u w:val="single"/>
          <w:lang w:eastAsia="zh-TW"/>
        </w:rPr>
        <w:noBreakHyphen/>
        <w:t>Insured Retentions</w:t>
      </w: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792F17" w:rsidRPr="007B6F6F" w:rsidRDefault="00792F17" w:rsidP="00792F17">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C.</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Other Insurance Provisions</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The policies are to contain, or be endorsed to contain, the following provisions:</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Commercial General Liability, Automobile Liability, and Cyber Liability Coverages</w:t>
      </w:r>
    </w:p>
    <w:p w:rsidR="00792F17" w:rsidRPr="007B6F6F" w:rsidRDefault="00792F17" w:rsidP="00792F1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792F17" w:rsidRPr="007B6F6F" w:rsidRDefault="00792F17" w:rsidP="00792F17">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lastRenderedPageBreak/>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792F17" w:rsidRPr="007B6F6F" w:rsidRDefault="00792F17" w:rsidP="00792F17">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Workers Compensation and Employers Liability Coverage</w:t>
      </w:r>
    </w:p>
    <w:p w:rsidR="00792F17" w:rsidRPr="007B6F6F" w:rsidRDefault="00792F17" w:rsidP="00792F17">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All Coverages</w:t>
      </w:r>
    </w:p>
    <w:p w:rsidR="00792F17" w:rsidRPr="007B6F6F" w:rsidRDefault="00792F17" w:rsidP="00792F1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  </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D.</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Acceptability of Insurers</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B6F6F">
        <w:rPr>
          <w:rFonts w:ascii="Times New Roman" w:eastAsia="PMingLiU" w:hAnsi="Times New Roman" w:cs="Times New Roman"/>
          <w:b/>
          <w:sz w:val="24"/>
          <w:szCs w:val="24"/>
          <w:lang w:eastAsia="zh-TW"/>
        </w:rPr>
        <w:t>A-</w:t>
      </w:r>
      <w:proofErr w:type="gramStart"/>
      <w:r w:rsidRPr="007B6F6F">
        <w:rPr>
          <w:rFonts w:ascii="Times New Roman" w:eastAsia="PMingLiU" w:hAnsi="Times New Roman" w:cs="Times New Roman"/>
          <w:b/>
          <w:sz w:val="24"/>
          <w:szCs w:val="24"/>
          <w:lang w:eastAsia="zh-TW"/>
        </w:rPr>
        <w:t>:VI</w:t>
      </w:r>
      <w:proofErr w:type="gramEnd"/>
      <w:r w:rsidRPr="007B6F6F">
        <w:rPr>
          <w:rFonts w:ascii="Times New Roman" w:eastAsia="PMingLiU" w:hAnsi="Times New Roman" w:cs="Times New Roman"/>
          <w:b/>
          <w:sz w:val="24"/>
          <w:szCs w:val="24"/>
          <w:lang w:eastAsia="zh-TW"/>
        </w:rPr>
        <w:t xml:space="preserve"> or higher</w:t>
      </w:r>
      <w:r w:rsidRPr="007B6F6F">
        <w:rPr>
          <w:rFonts w:ascii="Times New Roman" w:eastAsia="PMingLiU" w:hAnsi="Times New Roman" w:cs="Times New Roman"/>
          <w:sz w:val="24"/>
          <w:szCs w:val="24"/>
          <w:lang w:eastAsia="zh-TW"/>
        </w:rPr>
        <w:t xml:space="preserve">.  This rating requirement may be waived for workers’ compensation coverage only. </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 </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E.</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Verification of Coverage</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Certificate Holder should be listed as follows:</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State of Louisiana</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Office of State Procurement</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1201 N. Third St. Suite 2-160</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Baton Rouge, LA 70802</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792F17" w:rsidRPr="007B6F6F" w:rsidRDefault="00792F17" w:rsidP="00792F17">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F.</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Subcontractors</w:t>
      </w:r>
    </w:p>
    <w:p w:rsidR="00792F17" w:rsidRPr="007B6F6F" w:rsidRDefault="00792F17" w:rsidP="00792F17">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792F17" w:rsidRPr="007B6F6F" w:rsidRDefault="00792F17" w:rsidP="00792F17">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G.</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Workers Compensation Indemnity</w:t>
      </w:r>
    </w:p>
    <w:p w:rsidR="00792F17" w:rsidRPr="007B6F6F" w:rsidRDefault="00792F17" w:rsidP="00792F17">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7B6F6F">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92F17" w:rsidRPr="007B6F6F" w:rsidRDefault="00792F17" w:rsidP="00792F17">
      <w:pPr>
        <w:widowControl/>
        <w:tabs>
          <w:tab w:val="left" w:pos="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H.</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Indemnification/Hold Harmless Agreement</w:t>
      </w:r>
    </w:p>
    <w:p w:rsidR="00792F17" w:rsidRPr="007B6F6F" w:rsidRDefault="00792F17" w:rsidP="00792F17">
      <w:pPr>
        <w:widowControl/>
        <w:tabs>
          <w:tab w:val="left" w:pos="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w:t>
      </w:r>
      <w:r w:rsidRPr="007B6F6F">
        <w:rPr>
          <w:rFonts w:ascii="Times New Roman" w:eastAsia="PMingLiU" w:hAnsi="Times New Roman" w:cs="Times New Roman"/>
          <w:sz w:val="24"/>
          <w:szCs w:val="24"/>
          <w:lang w:eastAsia="zh-TW"/>
        </w:rPr>
        <w:lastRenderedPageBreak/>
        <w:t>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792F17" w:rsidRPr="007B6F6F" w:rsidRDefault="00792F17" w:rsidP="00792F17">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792F17" w:rsidRPr="009F41FB" w:rsidRDefault="00792F17" w:rsidP="009F41FB">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C60A2B"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20</w:t>
      </w:r>
      <w:r w:rsidR="00D5611B">
        <w:rPr>
          <w:rFonts w:ascii="Times New Roman" w:hAnsi="Times New Roman" w:cs="Times New Roman"/>
          <w:b/>
          <w:sz w:val="24"/>
          <w:szCs w:val="24"/>
        </w:rPr>
        <w:t>.</w:t>
      </w:r>
      <w:r w:rsidR="00D5611B">
        <w:rPr>
          <w:rFonts w:ascii="Times New Roman" w:hAnsi="Times New Roman" w:cs="Times New Roman"/>
          <w:b/>
          <w:sz w:val="24"/>
          <w:szCs w:val="24"/>
        </w:rPr>
        <w:tab/>
      </w:r>
      <w:r w:rsidR="00D5611B" w:rsidRPr="00D5611B">
        <w:rPr>
          <w:rFonts w:ascii="Times New Roman" w:hAnsi="Times New Roman" w:cs="Times New Roman"/>
          <w:b/>
          <w:sz w:val="24"/>
          <w:szCs w:val="24"/>
        </w:rPr>
        <w:t>Blanket Order Contract:</w:t>
      </w:r>
    </w:p>
    <w:p w:rsidR="00D5611B" w:rsidRDefault="00D5611B" w:rsidP="00D5611B">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92F17" w:rsidRDefault="00792F17" w:rsidP="00A50666">
      <w:pPr>
        <w:widowControl/>
        <w:spacing w:after="240" w:line="240" w:lineRule="auto"/>
        <w:contextualSpacing/>
        <w:jc w:val="both"/>
        <w:rPr>
          <w:rFonts w:ascii="Times New Roman" w:eastAsia="Times New Roman" w:hAnsi="Times New Roman" w:cs="Times New Roman"/>
          <w:sz w:val="24"/>
          <w:szCs w:val="24"/>
        </w:rPr>
      </w:pPr>
    </w:p>
    <w:p w:rsidR="00792F17" w:rsidRPr="00792F17" w:rsidRDefault="00792F17" w:rsidP="00792F1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792F17">
        <w:rPr>
          <w:rFonts w:ascii="Times New Roman" w:eastAsia="Times New Roman" w:hAnsi="Times New Roman" w:cs="Times New Roman"/>
          <w:b/>
          <w:sz w:val="24"/>
          <w:szCs w:val="24"/>
        </w:rPr>
        <w:t xml:space="preserve">.  </w:t>
      </w:r>
      <w:r w:rsidRPr="00792F17">
        <w:rPr>
          <w:rFonts w:ascii="Times New Roman" w:eastAsia="Times New Roman" w:hAnsi="Times New Roman" w:cs="Times New Roman"/>
          <w:b/>
          <w:sz w:val="24"/>
          <w:szCs w:val="24"/>
        </w:rPr>
        <w:tab/>
        <w:t>Method of Award:</w:t>
      </w:r>
    </w:p>
    <w:p w:rsidR="00D5611B" w:rsidRPr="00792F17" w:rsidRDefault="00792F17" w:rsidP="00792F17">
      <w:pPr>
        <w:widowControl/>
        <w:spacing w:after="0" w:line="240" w:lineRule="auto"/>
        <w:ind w:left="720"/>
        <w:rPr>
          <w:rFonts w:ascii="Times New Roman" w:eastAsia="Times New Roman" w:hAnsi="Times New Roman" w:cs="Times New Roman"/>
          <w:sz w:val="24"/>
          <w:szCs w:val="24"/>
        </w:rPr>
      </w:pPr>
      <w:r w:rsidRPr="00792F17">
        <w:rPr>
          <w:rFonts w:ascii="Times New Roman" w:eastAsia="Times New Roman" w:hAnsi="Times New Roman" w:cs="Times New Roman"/>
          <w:sz w:val="24"/>
          <w:szCs w:val="24"/>
        </w:rPr>
        <w:t xml:space="preserve">It is the intent of the State to award this contract on an </w:t>
      </w:r>
      <w:r w:rsidR="00FA5AF2">
        <w:rPr>
          <w:rFonts w:ascii="Times New Roman" w:eastAsia="Times New Roman" w:hAnsi="Times New Roman" w:cs="Times New Roman"/>
          <w:sz w:val="24"/>
          <w:szCs w:val="24"/>
        </w:rPr>
        <w:t xml:space="preserve">individual </w:t>
      </w:r>
      <w:r w:rsidRPr="00792F17">
        <w:rPr>
          <w:rFonts w:ascii="Times New Roman" w:eastAsia="Times New Roman" w:hAnsi="Times New Roman" w:cs="Times New Roman"/>
          <w:sz w:val="24"/>
          <w:szCs w:val="24"/>
        </w:rPr>
        <w:t>basis to the overall lowest responsive, responsible bidder meeting the specifications.  The State further reserves the right to reject individual line items from the award.</w:t>
      </w:r>
    </w:p>
    <w:p w:rsidR="00792F17" w:rsidRPr="0027519E" w:rsidRDefault="00792F17" w:rsidP="0027519E">
      <w:pPr>
        <w:widowControl/>
        <w:spacing w:after="0" w:line="240" w:lineRule="auto"/>
        <w:rPr>
          <w:rFonts w:ascii="Times New Roman" w:hAnsi="Times New Roman" w:cs="Times New Roman"/>
          <w:sz w:val="24"/>
          <w:szCs w:val="24"/>
        </w:rPr>
      </w:pPr>
    </w:p>
    <w:p w:rsidR="00720A8E" w:rsidRDefault="00792F17" w:rsidP="0027519E">
      <w:pPr>
        <w:spacing w:after="0"/>
        <w:rPr>
          <w:rFonts w:ascii="Times New Roman" w:hAnsi="Times New Roman" w:cs="Times New Roman"/>
          <w:b/>
          <w:bCs/>
          <w:sz w:val="24"/>
          <w:szCs w:val="24"/>
        </w:rPr>
      </w:pPr>
      <w:r>
        <w:rPr>
          <w:rFonts w:ascii="Times New Roman" w:hAnsi="Times New Roman" w:cs="Times New Roman"/>
          <w:b/>
          <w:bCs/>
          <w:sz w:val="24"/>
          <w:szCs w:val="24"/>
        </w:rPr>
        <w:t>22</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E65C32">
        <w:rPr>
          <w:rFonts w:ascii="Times New Roman" w:hAnsi="Times New Roman" w:cs="Times New Roman"/>
          <w:sz w:val="24"/>
          <w:szCs w:val="24"/>
        </w:rPr>
        <w:t>Arkeith White, Phone: 225-342-5533, Email:  Arkeith.White</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89" w:rsidRDefault="00441789">
      <w:pPr>
        <w:spacing w:after="0" w:line="240" w:lineRule="auto"/>
      </w:pPr>
      <w:r>
        <w:separator/>
      </w:r>
    </w:p>
  </w:endnote>
  <w:endnote w:type="continuationSeparator" w:id="0">
    <w:p w:rsidR="00441789" w:rsidRDefault="0044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60A2B">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60A2B">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89" w:rsidRDefault="00441789">
      <w:pPr>
        <w:spacing w:after="0" w:line="240" w:lineRule="auto"/>
      </w:pPr>
      <w:r>
        <w:separator/>
      </w:r>
    </w:p>
  </w:footnote>
  <w:footnote w:type="continuationSeparator" w:id="0">
    <w:p w:rsidR="00441789" w:rsidRDefault="0044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E65C32"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3000023081</w:t>
    </w:r>
    <w:r w:rsidR="00257A09">
      <w:rPr>
        <w:rFonts w:ascii="Times New Roman" w:hAnsi="Times New Roman" w:cs="Times New Roman"/>
        <w:sz w:val="24"/>
        <w:szCs w:val="24"/>
      </w:rPr>
      <w:t xml:space="preserve">           </w:t>
    </w:r>
    <w:r w:rsidR="00C53AC0" w:rsidRPr="001856F5">
      <w:rPr>
        <w:rFonts w:ascii="Times New Roman" w:hAnsi="Times New Roman" w:cs="Times New Roman"/>
        <w:sz w:val="24"/>
        <w:szCs w:val="24"/>
      </w:rPr>
      <w:tab/>
    </w:r>
    <w:r>
      <w:rPr>
        <w:rFonts w:ascii="Times New Roman" w:hAnsi="Times New Roman" w:cs="Times New Roman"/>
        <w:sz w:val="24"/>
        <w:szCs w:val="24"/>
      </w:rPr>
      <w:tab/>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w:t>
    </w:r>
    <w:r w:rsidR="00257A09">
      <w:rPr>
        <w:rFonts w:ascii="Times New Roman" w:hAnsi="Times New Roman" w:cs="Times New Roman"/>
        <w:sz w:val="24"/>
        <w:szCs w:val="24"/>
      </w:rPr>
      <w:t xml:space="preserve">Oxygen Cylinder </w:t>
    </w:r>
    <w:r w:rsidR="00DF1268">
      <w:rPr>
        <w:rFonts w:ascii="Times New Roman" w:hAnsi="Times New Roman" w:cs="Times New Roman"/>
        <w:sz w:val="24"/>
        <w:szCs w:val="24"/>
      </w:rPr>
      <w:t>Rentals – DVA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8A52DE6E"/>
    <w:lvl w:ilvl="0" w:tplc="9C7267A8">
      <w:start w:val="1"/>
      <w:numFmt w:val="decimal"/>
      <w:lvlText w:val="%1."/>
      <w:lvlJc w:val="left"/>
      <w:pPr>
        <w:ind w:left="540" w:hanging="54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0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E74DA"/>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57A09"/>
    <w:rsid w:val="00265584"/>
    <w:rsid w:val="00271042"/>
    <w:rsid w:val="0027519E"/>
    <w:rsid w:val="00280682"/>
    <w:rsid w:val="0028313D"/>
    <w:rsid w:val="00287E55"/>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41789"/>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2F17"/>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41FB"/>
    <w:rsid w:val="00A06A19"/>
    <w:rsid w:val="00A07ED9"/>
    <w:rsid w:val="00A319D1"/>
    <w:rsid w:val="00A325CA"/>
    <w:rsid w:val="00A33764"/>
    <w:rsid w:val="00A349D2"/>
    <w:rsid w:val="00A47BF5"/>
    <w:rsid w:val="00A50666"/>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96A02"/>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0A2B"/>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DF1268"/>
    <w:rsid w:val="00E05B57"/>
    <w:rsid w:val="00E215E2"/>
    <w:rsid w:val="00E2388E"/>
    <w:rsid w:val="00E275B6"/>
    <w:rsid w:val="00E54553"/>
    <w:rsid w:val="00E65C32"/>
    <w:rsid w:val="00E76BCC"/>
    <w:rsid w:val="00E83BB9"/>
    <w:rsid w:val="00EA3B21"/>
    <w:rsid w:val="00EA621B"/>
    <w:rsid w:val="00EA7169"/>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A5AF2"/>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3DA4B5"/>
  <w15:chartTrackingRefBased/>
  <w15:docId w15:val="{097928C2-9D2B-40E4-B98F-816F960B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257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76CE-97BB-4C06-952A-90BA957E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5</TotalTime>
  <Pages>10</Pages>
  <Words>3879</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Arkeith White</cp:lastModifiedBy>
  <cp:revision>6</cp:revision>
  <cp:lastPrinted>2022-05-19T21:13:00Z</cp:lastPrinted>
  <dcterms:created xsi:type="dcterms:W3CDTF">2024-05-31T14:37:00Z</dcterms:created>
  <dcterms:modified xsi:type="dcterms:W3CDTF">2024-06-03T21:21:00Z</dcterms:modified>
</cp:coreProperties>
</file>