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 xml:space="preserve">mailed or delivered by hand </w:t>
      </w:r>
      <w:bookmarkStart w:id="0" w:name="_GoBack"/>
      <w:bookmarkEnd w:id="0"/>
      <w:r w:rsidR="00941E1A" w:rsidRPr="00305D3E">
        <w:t>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proofErr w:type="gramStart"/>
      <w:r w:rsidR="00983322" w:rsidRPr="00305D3E">
        <w:t>transmissions</w:t>
      </w:r>
      <w:proofErr w:type="gramEnd"/>
      <w:r w:rsidR="00983322" w:rsidRPr="00305D3E">
        <w:t xml:space="preserve">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786D69" w:rsidRDefault="00786D69"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04C44" w:rsidRDefault="00C04C44"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04C44" w:rsidRPr="00305D3E" w:rsidRDefault="00C04C44"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786D69">
      <w:pPr>
        <w:pStyle w:val="ListParagraph"/>
        <w:numPr>
          <w:ilvl w:val="0"/>
          <w:numId w:val="26"/>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r>
      <w:r w:rsidR="00786D69">
        <w:rPr>
          <w:rFonts w:ascii="Times New Roman" w:hAnsi="Times New Roman" w:cs="Times New Roman"/>
          <w:b/>
          <w:sz w:val="24"/>
          <w:szCs w:val="24"/>
        </w:rPr>
        <w:t>Contract Period</w:t>
      </w:r>
      <w:r w:rsidRPr="00117192">
        <w:rPr>
          <w:rFonts w:ascii="Times New Roman" w:hAnsi="Times New Roman" w:cs="Times New Roman"/>
          <w:b/>
          <w:sz w:val="24"/>
          <w:szCs w:val="24"/>
        </w:rPr>
        <w:t>:</w:t>
      </w:r>
      <w:r w:rsidRPr="00117192">
        <w:rPr>
          <w:rFonts w:ascii="Times New Roman" w:hAnsi="Times New Roman" w:cs="Times New Roman"/>
          <w:sz w:val="24"/>
          <w:szCs w:val="24"/>
        </w:rPr>
        <w:t xml:space="preserve"> </w:t>
      </w:r>
    </w:p>
    <w:p w:rsidR="00305D3E" w:rsidRDefault="00786D69" w:rsidP="004D02C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786D69">
        <w:rPr>
          <w:rFonts w:ascii="Times New Roman" w:hAnsi="Times New Roman" w:cs="Times New Roman"/>
          <w:sz w:val="24"/>
          <w:szCs w:val="24"/>
        </w:rPr>
        <w:t>his contract shall be effective for the period beginning July 1, 2024 or date of award, whichever is later, and ending June 30, 2025</w:t>
      </w:r>
      <w:r w:rsidR="00305D3E" w:rsidRPr="00117192">
        <w:rPr>
          <w:rFonts w:ascii="Times New Roman" w:hAnsi="Times New Roman" w:cs="Times New Roman"/>
          <w:sz w:val="24"/>
          <w:szCs w:val="24"/>
        </w:rPr>
        <w:t>.</w:t>
      </w:r>
    </w:p>
    <w:p w:rsidR="00786D69" w:rsidRDefault="00786D69" w:rsidP="004D02C7">
      <w:pPr>
        <w:pStyle w:val="ListParagraph"/>
        <w:spacing w:after="0" w:line="240" w:lineRule="auto"/>
        <w:jc w:val="both"/>
        <w:rPr>
          <w:rFonts w:ascii="Times New Roman" w:hAnsi="Times New Roman" w:cs="Times New Roman"/>
          <w:sz w:val="24"/>
          <w:szCs w:val="24"/>
        </w:rPr>
      </w:pPr>
    </w:p>
    <w:p w:rsidR="00786D69" w:rsidRPr="00786D69" w:rsidRDefault="00786D69" w:rsidP="00786D69">
      <w:pPr>
        <w:pStyle w:val="ListParagraph"/>
        <w:widowControl/>
        <w:numPr>
          <w:ilvl w:val="0"/>
          <w:numId w:val="26"/>
        </w:numPr>
        <w:spacing w:after="0" w:line="259" w:lineRule="auto"/>
        <w:rPr>
          <w:rFonts w:ascii="Times New Roman" w:eastAsia="Times New Roman" w:hAnsi="Times New Roman" w:cs="Times New Roman"/>
          <w:color w:val="000000"/>
          <w:sz w:val="24"/>
        </w:rPr>
      </w:pPr>
      <w:r w:rsidRPr="00786D69">
        <w:rPr>
          <w:rFonts w:ascii="Times New Roman" w:eastAsia="Times New Roman" w:hAnsi="Times New Roman" w:cs="Times New Roman"/>
          <w:b/>
          <w:color w:val="000000"/>
          <w:sz w:val="24"/>
        </w:rPr>
        <w:t>Estimated Quantity:</w:t>
      </w:r>
    </w:p>
    <w:p w:rsidR="00786D69" w:rsidRPr="00786D69" w:rsidRDefault="00786D69" w:rsidP="00786D69">
      <w:pPr>
        <w:widowControl/>
        <w:spacing w:after="300" w:line="248" w:lineRule="auto"/>
        <w:ind w:left="715" w:right="110"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listed quantities are estimated to be the amount needed. In the event a greater or lesser quantity is needed, the right is reserved by the State of Louisiana to increase or decrease the amount, at the unit price and terms stated in the bid.</w:t>
      </w:r>
    </w:p>
    <w:p w:rsidR="00786D69" w:rsidRPr="00786D69" w:rsidRDefault="00786D69" w:rsidP="00786D69">
      <w:pPr>
        <w:pStyle w:val="ListParagraph"/>
        <w:widowControl/>
        <w:numPr>
          <w:ilvl w:val="0"/>
          <w:numId w:val="26"/>
        </w:numPr>
        <w:spacing w:after="0" w:line="259" w:lineRule="auto"/>
        <w:jc w:val="both"/>
        <w:rPr>
          <w:rFonts w:ascii="Times New Roman" w:eastAsia="Times New Roman" w:hAnsi="Times New Roman" w:cs="Times New Roman"/>
          <w:color w:val="000000"/>
          <w:sz w:val="24"/>
        </w:rPr>
      </w:pPr>
      <w:r w:rsidRPr="00786D69">
        <w:rPr>
          <w:rFonts w:ascii="Times New Roman" w:eastAsia="Times New Roman" w:hAnsi="Times New Roman" w:cs="Times New Roman"/>
          <w:b/>
          <w:color w:val="000000"/>
          <w:sz w:val="24"/>
        </w:rPr>
        <w:t>Renewal Option:</w:t>
      </w:r>
    </w:p>
    <w:p w:rsidR="00786D69" w:rsidRPr="00786D69" w:rsidRDefault="00786D69" w:rsidP="00786D69">
      <w:pPr>
        <w:widowControl/>
        <w:spacing w:after="300" w:line="248" w:lineRule="auto"/>
        <w:ind w:left="715"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At the option of the State of Louisiana and acceptance by the Contractor, this contract may be extended for two additional 12- month periods at the same prices, terms and conditions.  Total contract period may not exceed 36 months.</w:t>
      </w:r>
    </w:p>
    <w:p w:rsidR="00786D69" w:rsidRPr="00786D69" w:rsidRDefault="00786D69" w:rsidP="00786D69">
      <w:pPr>
        <w:pStyle w:val="ListParagraph"/>
        <w:widowControl/>
        <w:numPr>
          <w:ilvl w:val="0"/>
          <w:numId w:val="26"/>
        </w:numPr>
        <w:spacing w:after="0" w:line="259" w:lineRule="auto"/>
        <w:jc w:val="both"/>
        <w:rPr>
          <w:rFonts w:ascii="Times New Roman" w:eastAsia="Times New Roman" w:hAnsi="Times New Roman" w:cs="Times New Roman"/>
          <w:color w:val="000000"/>
          <w:sz w:val="24"/>
        </w:rPr>
      </w:pPr>
      <w:r w:rsidRPr="00786D69">
        <w:rPr>
          <w:rFonts w:ascii="Times New Roman" w:eastAsia="Times New Roman" w:hAnsi="Times New Roman" w:cs="Times New Roman"/>
          <w:b/>
          <w:color w:val="000000"/>
          <w:sz w:val="24"/>
        </w:rPr>
        <w:t>Method of Award:</w:t>
      </w:r>
    </w:p>
    <w:p w:rsidR="00786D69" w:rsidRPr="00786D69" w:rsidRDefault="00786D69" w:rsidP="00786D69">
      <w:pPr>
        <w:widowControl/>
        <w:spacing w:after="300" w:line="248" w:lineRule="auto"/>
        <w:ind w:left="715" w:right="162"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It is the intent of the State to award this contract on an all-or-none basis to the overall lowest responsive, responsible bidder meeting the specifications.  The State further reserves the right to reject individual line items from the award.</w:t>
      </w:r>
    </w:p>
    <w:p w:rsidR="00786D69" w:rsidRPr="00786D69" w:rsidRDefault="00786D69" w:rsidP="00786D69">
      <w:pPr>
        <w:pStyle w:val="ListParagraph"/>
        <w:widowControl/>
        <w:numPr>
          <w:ilvl w:val="0"/>
          <w:numId w:val="26"/>
        </w:numPr>
        <w:spacing w:after="0" w:line="259" w:lineRule="auto"/>
        <w:jc w:val="both"/>
        <w:rPr>
          <w:rFonts w:ascii="Times New Roman" w:eastAsia="Times New Roman" w:hAnsi="Times New Roman" w:cs="Times New Roman"/>
          <w:color w:val="000000"/>
          <w:sz w:val="24"/>
        </w:rPr>
      </w:pPr>
      <w:r w:rsidRPr="00786D69">
        <w:rPr>
          <w:rFonts w:ascii="Times New Roman" w:eastAsia="Times New Roman" w:hAnsi="Times New Roman" w:cs="Times New Roman"/>
          <w:b/>
          <w:color w:val="000000"/>
          <w:sz w:val="24"/>
        </w:rPr>
        <w:t>Insurance Requirements for Contractors:</w:t>
      </w:r>
    </w:p>
    <w:p w:rsidR="00786D69" w:rsidRPr="00786D69" w:rsidRDefault="00786D69" w:rsidP="00786D69">
      <w:pPr>
        <w:widowControl/>
        <w:spacing w:after="300" w:line="248" w:lineRule="auto"/>
        <w:ind w:left="715"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86D69" w:rsidRPr="00786D69" w:rsidRDefault="00786D69" w:rsidP="00786D69">
      <w:pPr>
        <w:widowControl/>
        <w:tabs>
          <w:tab w:val="center" w:pos="837"/>
          <w:tab w:val="center" w:pos="3418"/>
        </w:tabs>
        <w:spacing w:after="288" w:line="259" w:lineRule="auto"/>
        <w:rPr>
          <w:rFonts w:ascii="Times New Roman" w:eastAsia="Times New Roman" w:hAnsi="Times New Roman" w:cs="Times New Roman"/>
          <w:color w:val="000000"/>
          <w:sz w:val="24"/>
        </w:rPr>
      </w:pPr>
      <w:r w:rsidRPr="00786D69">
        <w:rPr>
          <w:rFonts w:ascii="Calibri" w:eastAsia="Calibri" w:hAnsi="Calibri" w:cs="Calibri"/>
          <w:color w:val="000000"/>
        </w:rPr>
        <w:tab/>
      </w:r>
      <w:r w:rsidRPr="00786D69">
        <w:rPr>
          <w:rFonts w:ascii="Times New Roman" w:eastAsia="Times New Roman" w:hAnsi="Times New Roman" w:cs="Times New Roman"/>
          <w:color w:val="000000"/>
          <w:sz w:val="24"/>
        </w:rPr>
        <w:t>A.</w:t>
      </w:r>
      <w:r w:rsidRPr="00786D69">
        <w:rPr>
          <w:rFonts w:ascii="Times New Roman" w:eastAsia="Times New Roman" w:hAnsi="Times New Roman" w:cs="Times New Roman"/>
          <w:color w:val="000000"/>
          <w:sz w:val="24"/>
        </w:rPr>
        <w:tab/>
      </w:r>
      <w:r w:rsidRPr="00786D69">
        <w:rPr>
          <w:rFonts w:ascii="Times New Roman" w:eastAsia="Times New Roman" w:hAnsi="Times New Roman" w:cs="Times New Roman"/>
          <w:color w:val="000000"/>
          <w:sz w:val="24"/>
          <w:u w:val="single" w:color="000000"/>
        </w:rPr>
        <w:t>Minimum Scope and Limits of Insurance</w:t>
      </w:r>
    </w:p>
    <w:p w:rsidR="00786D69" w:rsidRPr="00786D69" w:rsidRDefault="00786D69" w:rsidP="00786D69">
      <w:pPr>
        <w:keepNext/>
        <w:keepLines/>
        <w:widowControl/>
        <w:spacing w:after="3" w:line="259" w:lineRule="auto"/>
        <w:ind w:left="1450" w:hanging="10"/>
        <w:outlineLvl w:val="0"/>
        <w:rPr>
          <w:rFonts w:ascii="Times New Roman" w:eastAsia="Times New Roman" w:hAnsi="Times New Roman" w:cs="Times New Roman"/>
          <w:color w:val="000000"/>
          <w:sz w:val="24"/>
          <w:u w:val="single" w:color="000000"/>
        </w:rPr>
      </w:pPr>
      <w:r w:rsidRPr="00786D69">
        <w:rPr>
          <w:rFonts w:ascii="Times New Roman" w:eastAsia="Times New Roman" w:hAnsi="Times New Roman" w:cs="Times New Roman"/>
          <w:color w:val="000000"/>
          <w:sz w:val="24"/>
          <w:u w:color="000000"/>
        </w:rPr>
        <w:t xml:space="preserve">1. </w:t>
      </w:r>
      <w:r w:rsidRPr="00786D69">
        <w:rPr>
          <w:rFonts w:ascii="Times New Roman" w:eastAsia="Times New Roman" w:hAnsi="Times New Roman" w:cs="Times New Roman"/>
          <w:color w:val="000000"/>
          <w:sz w:val="24"/>
          <w:u w:val="single" w:color="000000"/>
        </w:rPr>
        <w:t>Workers Compensation</w:t>
      </w:r>
    </w:p>
    <w:p w:rsidR="00786D69" w:rsidRPr="00786D69" w:rsidRDefault="00786D69" w:rsidP="00786D69">
      <w:pPr>
        <w:widowControl/>
        <w:spacing w:after="300" w:line="248" w:lineRule="auto"/>
        <w:ind w:left="1805"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w:t>
      </w:r>
    </w:p>
    <w:p w:rsidR="00786D69" w:rsidRPr="00786D69" w:rsidRDefault="00786D69" w:rsidP="00786D69">
      <w:pPr>
        <w:keepNext/>
        <w:keepLines/>
        <w:widowControl/>
        <w:spacing w:after="3" w:line="259" w:lineRule="auto"/>
        <w:ind w:left="1450" w:hanging="10"/>
        <w:outlineLvl w:val="0"/>
        <w:rPr>
          <w:rFonts w:ascii="Times New Roman" w:eastAsia="Times New Roman" w:hAnsi="Times New Roman" w:cs="Times New Roman"/>
          <w:color w:val="000000"/>
          <w:sz w:val="24"/>
          <w:u w:val="single" w:color="000000"/>
        </w:rPr>
      </w:pPr>
      <w:r w:rsidRPr="00786D69">
        <w:rPr>
          <w:rFonts w:ascii="Times New Roman" w:eastAsia="Times New Roman" w:hAnsi="Times New Roman" w:cs="Times New Roman"/>
          <w:color w:val="000000"/>
          <w:sz w:val="24"/>
          <w:u w:color="000000"/>
        </w:rPr>
        <w:lastRenderedPageBreak/>
        <w:t xml:space="preserve">2. </w:t>
      </w:r>
      <w:r w:rsidRPr="00786D69">
        <w:rPr>
          <w:rFonts w:ascii="Times New Roman" w:eastAsia="Times New Roman" w:hAnsi="Times New Roman" w:cs="Times New Roman"/>
          <w:color w:val="000000"/>
          <w:sz w:val="24"/>
          <w:u w:val="single" w:color="000000"/>
        </w:rPr>
        <w:t>Commercial General Liability</w:t>
      </w:r>
    </w:p>
    <w:p w:rsidR="00786D69" w:rsidRPr="00786D69" w:rsidRDefault="00786D69" w:rsidP="00786D69">
      <w:pPr>
        <w:widowControl/>
        <w:spacing w:after="300" w:line="248" w:lineRule="auto"/>
        <w:ind w:left="1896"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 </w:t>
      </w:r>
    </w:p>
    <w:p w:rsidR="00786D69" w:rsidRPr="00786D69" w:rsidRDefault="00786D69" w:rsidP="00786D69">
      <w:pPr>
        <w:keepNext/>
        <w:keepLines/>
        <w:widowControl/>
        <w:spacing w:after="3" w:line="259" w:lineRule="auto"/>
        <w:ind w:left="1450" w:hanging="10"/>
        <w:outlineLvl w:val="0"/>
        <w:rPr>
          <w:rFonts w:ascii="Times New Roman" w:eastAsia="Times New Roman" w:hAnsi="Times New Roman" w:cs="Times New Roman"/>
          <w:color w:val="000000"/>
          <w:sz w:val="24"/>
          <w:u w:val="single" w:color="000000"/>
        </w:rPr>
      </w:pPr>
      <w:r w:rsidRPr="00786D69">
        <w:rPr>
          <w:rFonts w:ascii="Times New Roman" w:eastAsia="Times New Roman" w:hAnsi="Times New Roman" w:cs="Times New Roman"/>
          <w:color w:val="000000"/>
          <w:sz w:val="24"/>
          <w:u w:color="000000"/>
        </w:rPr>
        <w:t xml:space="preserve">3. </w:t>
      </w:r>
      <w:r w:rsidRPr="00786D69">
        <w:rPr>
          <w:rFonts w:ascii="Times New Roman" w:eastAsia="Times New Roman" w:hAnsi="Times New Roman" w:cs="Times New Roman"/>
          <w:color w:val="000000"/>
          <w:sz w:val="24"/>
          <w:u w:val="single" w:color="000000"/>
        </w:rPr>
        <w:t>Automobile Liability</w:t>
      </w:r>
    </w:p>
    <w:p w:rsidR="00786D69" w:rsidRPr="00786D69" w:rsidRDefault="00786D69" w:rsidP="00786D69">
      <w:pPr>
        <w:widowControl/>
        <w:spacing w:after="300" w:line="248" w:lineRule="auto"/>
        <w:ind w:left="1805"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non-owned automobiles.</w:t>
      </w:r>
    </w:p>
    <w:p w:rsidR="00786D69" w:rsidRPr="00786D69" w:rsidRDefault="00786D69" w:rsidP="00786D69">
      <w:pPr>
        <w:keepNext/>
        <w:keepLines/>
        <w:widowControl/>
        <w:tabs>
          <w:tab w:val="center" w:pos="829"/>
          <w:tab w:val="center" w:pos="3383"/>
        </w:tabs>
        <w:spacing w:after="258"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B.</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Deductibles and Self-Insured Retentions</w:t>
      </w:r>
    </w:p>
    <w:p w:rsidR="00786D69" w:rsidRPr="00786D69" w:rsidRDefault="00786D69" w:rsidP="00786D69">
      <w:pPr>
        <w:widowControl/>
        <w:spacing w:after="300" w:line="248" w:lineRule="auto"/>
        <w:ind w:left="145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Any deductibles or self-insured retentions must be declared to and accepted by the Agency.  The Contractor shall be responsible for all deductibles and self-insured retentions.</w:t>
      </w:r>
    </w:p>
    <w:p w:rsidR="00786D69" w:rsidRPr="00786D69" w:rsidRDefault="00786D69" w:rsidP="00786D69">
      <w:pPr>
        <w:keepNext/>
        <w:keepLines/>
        <w:widowControl/>
        <w:tabs>
          <w:tab w:val="center" w:pos="830"/>
          <w:tab w:val="center" w:pos="2747"/>
        </w:tabs>
        <w:spacing w:after="258"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C.</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Other Insurance Provisions</w:t>
      </w:r>
    </w:p>
    <w:p w:rsidR="00786D69" w:rsidRPr="00786D69" w:rsidRDefault="00786D69" w:rsidP="00786D69">
      <w:pPr>
        <w:widowControl/>
        <w:spacing w:after="300" w:line="248" w:lineRule="auto"/>
        <w:ind w:left="145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policies are to contain, or be endorsed to contain, the following provisions:</w:t>
      </w:r>
    </w:p>
    <w:p w:rsidR="00786D69" w:rsidRPr="00786D69" w:rsidRDefault="00786D69" w:rsidP="00786D69">
      <w:pPr>
        <w:widowControl/>
        <w:numPr>
          <w:ilvl w:val="0"/>
          <w:numId w:val="40"/>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Commercial General Liability, Automobile Liability, and Cyber Liability Coverages</w:t>
      </w:r>
    </w:p>
    <w:p w:rsidR="00786D69" w:rsidRPr="00786D69" w:rsidRDefault="00786D69" w:rsidP="00786D69">
      <w:pPr>
        <w:widowControl/>
        <w:numPr>
          <w:ilvl w:val="1"/>
          <w:numId w:val="40"/>
        </w:numPr>
        <w:spacing w:after="20"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w:t>
      </w:r>
    </w:p>
    <w:p w:rsidR="00786D69" w:rsidRPr="00786D69" w:rsidRDefault="00786D69" w:rsidP="00786D69">
      <w:pPr>
        <w:widowControl/>
        <w:numPr>
          <w:ilvl w:val="1"/>
          <w:numId w:val="40"/>
        </w:numPr>
        <w:spacing w:after="266"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86D69" w:rsidRPr="00786D69" w:rsidRDefault="00786D69" w:rsidP="00786D69">
      <w:pPr>
        <w:widowControl/>
        <w:numPr>
          <w:ilvl w:val="0"/>
          <w:numId w:val="40"/>
        </w:numPr>
        <w:spacing w:after="263"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Workers Compensation and Employers Liability Coverage</w:t>
      </w:r>
    </w:p>
    <w:p w:rsidR="00786D69" w:rsidRPr="00786D69" w:rsidRDefault="00786D69" w:rsidP="00786D69">
      <w:pPr>
        <w:widowControl/>
        <w:spacing w:after="300" w:line="248" w:lineRule="auto"/>
        <w:ind w:left="1805"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To the fullest extent allowed by law, the insurer shall agree to waive all rights of subrogation against the Agency, its officers, agents, employees and volunteers for losses arising from work performed by the Contractor for the Agency.</w:t>
      </w:r>
    </w:p>
    <w:p w:rsidR="00786D69" w:rsidRPr="00786D69" w:rsidRDefault="00786D69" w:rsidP="00786D69">
      <w:pPr>
        <w:widowControl/>
        <w:numPr>
          <w:ilvl w:val="0"/>
          <w:numId w:val="40"/>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All Coverages</w:t>
      </w:r>
    </w:p>
    <w:p w:rsidR="00786D69" w:rsidRPr="00786D69" w:rsidRDefault="00786D69" w:rsidP="00786D69">
      <w:pPr>
        <w:widowControl/>
        <w:numPr>
          <w:ilvl w:val="1"/>
          <w:numId w:val="40"/>
        </w:numPr>
        <w:spacing w:after="23"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lastRenderedPageBreak/>
        <w:t xml:space="preserve">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 </w:t>
      </w:r>
    </w:p>
    <w:p w:rsidR="00786D69" w:rsidRPr="00786D69" w:rsidRDefault="00786D69" w:rsidP="00786D69">
      <w:pPr>
        <w:widowControl/>
        <w:numPr>
          <w:ilvl w:val="1"/>
          <w:numId w:val="40"/>
        </w:numPr>
        <w:spacing w:after="20"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86D69" w:rsidRPr="00786D69" w:rsidRDefault="00786D69" w:rsidP="00786D69">
      <w:pPr>
        <w:widowControl/>
        <w:numPr>
          <w:ilvl w:val="1"/>
          <w:numId w:val="40"/>
        </w:numPr>
        <w:spacing w:after="19"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insurance companies issuing the policies shall have no recourse against the Agency for payment of premiums or for assessments under any form of the policies.</w:t>
      </w:r>
    </w:p>
    <w:p w:rsidR="00786D69" w:rsidRPr="00786D69" w:rsidRDefault="00786D69" w:rsidP="00786D69">
      <w:pPr>
        <w:widowControl/>
        <w:numPr>
          <w:ilvl w:val="1"/>
          <w:numId w:val="40"/>
        </w:numPr>
        <w:spacing w:after="300"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Any failure of the Contractor to comply with reporting provisions of the policy shall not affect coverage provided to the Agency, its officers, agents, employees and volunteers.</w:t>
      </w:r>
    </w:p>
    <w:p w:rsidR="00786D69" w:rsidRPr="00786D69" w:rsidRDefault="00786D69" w:rsidP="00786D69">
      <w:pPr>
        <w:keepNext/>
        <w:keepLines/>
        <w:widowControl/>
        <w:tabs>
          <w:tab w:val="center" w:pos="836"/>
          <w:tab w:val="center" w:pos="2631"/>
        </w:tabs>
        <w:spacing w:after="288"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D.</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Acceptability of Insurers</w:t>
      </w:r>
    </w:p>
    <w:p w:rsidR="00786D69" w:rsidRPr="00786D69" w:rsidRDefault="00786D69" w:rsidP="00786D69">
      <w:pPr>
        <w:widowControl/>
        <w:numPr>
          <w:ilvl w:val="0"/>
          <w:numId w:val="41"/>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 xml:space="preserve">All required insurance shall be provided by a company or companies lawfully authorized to do business in the jurisdiction in which the Project is located.  Insurance shall be placed with insurers with an A.M. Best's rating of </w:t>
      </w:r>
      <w:r w:rsidRPr="00786D69">
        <w:rPr>
          <w:rFonts w:ascii="Times New Roman" w:eastAsia="Times New Roman" w:hAnsi="Times New Roman" w:cs="Times New Roman"/>
          <w:b/>
          <w:color w:val="000000"/>
          <w:sz w:val="24"/>
        </w:rPr>
        <w:t>A-</w:t>
      </w:r>
      <w:proofErr w:type="gramStart"/>
      <w:r w:rsidRPr="00786D69">
        <w:rPr>
          <w:rFonts w:ascii="Times New Roman" w:eastAsia="Times New Roman" w:hAnsi="Times New Roman" w:cs="Times New Roman"/>
          <w:b/>
          <w:color w:val="000000"/>
          <w:sz w:val="24"/>
        </w:rPr>
        <w:t>:VI</w:t>
      </w:r>
      <w:proofErr w:type="gramEnd"/>
      <w:r w:rsidRPr="00786D69">
        <w:rPr>
          <w:rFonts w:ascii="Times New Roman" w:eastAsia="Times New Roman" w:hAnsi="Times New Roman" w:cs="Times New Roman"/>
          <w:b/>
          <w:color w:val="000000"/>
          <w:sz w:val="24"/>
        </w:rPr>
        <w:t xml:space="preserve"> or higher</w:t>
      </w:r>
      <w:r w:rsidRPr="00786D69">
        <w:rPr>
          <w:rFonts w:ascii="Times New Roman" w:eastAsia="Times New Roman" w:hAnsi="Times New Roman" w:cs="Times New Roman"/>
          <w:color w:val="000000"/>
          <w:sz w:val="24"/>
        </w:rPr>
        <w:t>.  This rating requirement may be waived for workers’ compensation coverage only.</w:t>
      </w:r>
    </w:p>
    <w:p w:rsidR="00786D69" w:rsidRPr="00786D69" w:rsidRDefault="00786D69" w:rsidP="00786D69">
      <w:pPr>
        <w:widowControl/>
        <w:numPr>
          <w:ilvl w:val="0"/>
          <w:numId w:val="41"/>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If at any time an insurer issuing any such policy does not meet the minimum A.M. Best rating, the Contractor shall obtain a policy with an insurer that meets the A.M. Best rating and shall submit another Certificate of Insurance within 30 days.</w:t>
      </w:r>
    </w:p>
    <w:p w:rsidR="00786D69" w:rsidRPr="00786D69" w:rsidRDefault="00786D69" w:rsidP="00786D69">
      <w:pPr>
        <w:keepNext/>
        <w:keepLines/>
        <w:widowControl/>
        <w:tabs>
          <w:tab w:val="center" w:pos="823"/>
          <w:tab w:val="center" w:pos="2639"/>
        </w:tabs>
        <w:spacing w:after="288"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E.</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Verification of Coverage</w:t>
      </w:r>
    </w:p>
    <w:p w:rsidR="00786D69" w:rsidRPr="00786D69" w:rsidRDefault="00786D69" w:rsidP="00786D69">
      <w:pPr>
        <w:widowControl/>
        <w:numPr>
          <w:ilvl w:val="0"/>
          <w:numId w:val="42"/>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rsidR="00786D69" w:rsidRPr="00786D69" w:rsidRDefault="00786D69" w:rsidP="00786D69">
      <w:pPr>
        <w:widowControl/>
        <w:numPr>
          <w:ilvl w:val="0"/>
          <w:numId w:val="42"/>
        </w:numPr>
        <w:spacing w:after="27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Certificate Holder should be listed as follows:</w:t>
      </w:r>
    </w:p>
    <w:p w:rsidR="00786D69" w:rsidRPr="00786D69" w:rsidRDefault="00786D69" w:rsidP="00786D69">
      <w:pPr>
        <w:widowControl/>
        <w:spacing w:after="12" w:line="248" w:lineRule="auto"/>
        <w:ind w:left="217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 xml:space="preserve">State of Louisiana </w:t>
      </w:r>
    </w:p>
    <w:p w:rsidR="00786D69" w:rsidRPr="00786D69" w:rsidRDefault="00786D69" w:rsidP="00786D69">
      <w:pPr>
        <w:widowControl/>
        <w:spacing w:after="12" w:line="248" w:lineRule="auto"/>
        <w:ind w:left="217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 xml:space="preserve">Office of State Procurement </w:t>
      </w:r>
    </w:p>
    <w:p w:rsidR="00786D69" w:rsidRPr="00786D69" w:rsidRDefault="00786D69" w:rsidP="00786D69">
      <w:pPr>
        <w:widowControl/>
        <w:spacing w:after="300" w:line="248" w:lineRule="auto"/>
        <w:ind w:left="2170" w:right="5189"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 xml:space="preserve">1201 N. Third St. Suite 2-160 Baton Rouge, LA 70802 </w:t>
      </w:r>
    </w:p>
    <w:p w:rsidR="00786D69" w:rsidRPr="00786D69" w:rsidRDefault="00786D69" w:rsidP="00786D69">
      <w:pPr>
        <w:widowControl/>
        <w:numPr>
          <w:ilvl w:val="0"/>
          <w:numId w:val="42"/>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In addition to the certificates, Contractor shall submit the declarations page and the cancellation provision for each insurance policy.  The Agency reserves the right to request complete certified copies of all required insurance policies at any time.</w:t>
      </w:r>
    </w:p>
    <w:p w:rsidR="00786D69" w:rsidRPr="00786D69" w:rsidRDefault="00786D69" w:rsidP="00786D69">
      <w:pPr>
        <w:widowControl/>
        <w:numPr>
          <w:ilvl w:val="0"/>
          <w:numId w:val="42"/>
        </w:numPr>
        <w:spacing w:after="300" w:line="248" w:lineRule="auto"/>
        <w:ind w:right="25" w:hanging="355"/>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lastRenderedPageBreak/>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86D69" w:rsidRPr="00786D69" w:rsidRDefault="00786D69" w:rsidP="00786D69">
      <w:pPr>
        <w:keepNext/>
        <w:keepLines/>
        <w:widowControl/>
        <w:tabs>
          <w:tab w:val="center" w:pos="816"/>
          <w:tab w:val="center" w:pos="2159"/>
        </w:tabs>
        <w:spacing w:after="3"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F.</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Subcontractors</w:t>
      </w:r>
    </w:p>
    <w:p w:rsidR="00786D69" w:rsidRPr="00786D69" w:rsidRDefault="00786D69" w:rsidP="00786D69">
      <w:pPr>
        <w:widowControl/>
        <w:spacing w:after="300" w:line="248" w:lineRule="auto"/>
        <w:ind w:left="145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86D69" w:rsidRPr="00786D69" w:rsidRDefault="00786D69" w:rsidP="00786D69">
      <w:pPr>
        <w:keepNext/>
        <w:keepLines/>
        <w:widowControl/>
        <w:tabs>
          <w:tab w:val="center" w:pos="836"/>
          <w:tab w:val="center" w:pos="3101"/>
        </w:tabs>
        <w:spacing w:after="3"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G.</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Workers Compensation Indemnity</w:t>
      </w:r>
    </w:p>
    <w:p w:rsidR="00786D69" w:rsidRPr="00786D69" w:rsidRDefault="00786D69" w:rsidP="00786D69">
      <w:pPr>
        <w:widowControl/>
        <w:spacing w:after="300" w:line="248" w:lineRule="auto"/>
        <w:ind w:left="1450"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86D69" w:rsidRPr="00786D69" w:rsidRDefault="00786D69" w:rsidP="00786D69">
      <w:pPr>
        <w:keepNext/>
        <w:keepLines/>
        <w:widowControl/>
        <w:tabs>
          <w:tab w:val="center" w:pos="836"/>
          <w:tab w:val="center" w:pos="3525"/>
        </w:tabs>
        <w:spacing w:after="288" w:line="259" w:lineRule="auto"/>
        <w:outlineLvl w:val="0"/>
        <w:rPr>
          <w:rFonts w:ascii="Times New Roman" w:eastAsia="Times New Roman" w:hAnsi="Times New Roman" w:cs="Times New Roman"/>
          <w:color w:val="000000"/>
          <w:sz w:val="24"/>
          <w:u w:val="single" w:color="000000"/>
        </w:rPr>
      </w:pPr>
      <w:r w:rsidRPr="00786D69">
        <w:rPr>
          <w:rFonts w:ascii="Calibri" w:eastAsia="Calibri" w:hAnsi="Calibri" w:cs="Calibri"/>
          <w:color w:val="000000"/>
          <w:u w:color="000000"/>
        </w:rPr>
        <w:tab/>
      </w:r>
      <w:r w:rsidRPr="00786D69">
        <w:rPr>
          <w:rFonts w:ascii="Times New Roman" w:eastAsia="Times New Roman" w:hAnsi="Times New Roman" w:cs="Times New Roman"/>
          <w:color w:val="000000"/>
          <w:sz w:val="24"/>
          <w:u w:color="000000"/>
        </w:rPr>
        <w:t>H.</w:t>
      </w:r>
      <w:r w:rsidRPr="00786D69">
        <w:rPr>
          <w:rFonts w:ascii="Times New Roman" w:eastAsia="Times New Roman" w:hAnsi="Times New Roman" w:cs="Times New Roman"/>
          <w:color w:val="000000"/>
          <w:sz w:val="24"/>
          <w:u w:color="000000"/>
        </w:rPr>
        <w:tab/>
      </w:r>
      <w:r w:rsidRPr="00786D69">
        <w:rPr>
          <w:rFonts w:ascii="Times New Roman" w:eastAsia="Times New Roman" w:hAnsi="Times New Roman" w:cs="Times New Roman"/>
          <w:color w:val="000000"/>
          <w:sz w:val="24"/>
          <w:u w:val="single" w:color="000000"/>
        </w:rPr>
        <w:t>Indemnification/Hold Harmless Agreement</w:t>
      </w:r>
    </w:p>
    <w:p w:rsidR="00786D69" w:rsidRPr="00786D69" w:rsidRDefault="00786D69" w:rsidP="00786D69">
      <w:pPr>
        <w:widowControl/>
        <w:numPr>
          <w:ilvl w:val="0"/>
          <w:numId w:val="43"/>
        </w:numPr>
        <w:spacing w:after="300"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86D69" w:rsidRPr="00FC6F1B" w:rsidRDefault="00786D69" w:rsidP="00FC6F1B">
      <w:pPr>
        <w:widowControl/>
        <w:numPr>
          <w:ilvl w:val="0"/>
          <w:numId w:val="43"/>
        </w:numPr>
        <w:spacing w:after="300" w:line="248" w:lineRule="auto"/>
        <w:ind w:right="25" w:hanging="10"/>
        <w:jc w:val="both"/>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86D69" w:rsidRPr="00786D69" w:rsidRDefault="00786D69" w:rsidP="00786D69">
      <w:pPr>
        <w:widowControl/>
        <w:spacing w:after="18" w:line="259" w:lineRule="auto"/>
        <w:rPr>
          <w:rFonts w:ascii="Times New Roman" w:eastAsia="Times New Roman" w:hAnsi="Times New Roman" w:cs="Times New Roman"/>
          <w:color w:val="000000"/>
          <w:sz w:val="24"/>
        </w:rPr>
      </w:pPr>
    </w:p>
    <w:p w:rsidR="00786D69" w:rsidRPr="001077AE" w:rsidRDefault="00786D69" w:rsidP="001077AE">
      <w:pPr>
        <w:pStyle w:val="ListParagraph"/>
        <w:widowControl/>
        <w:numPr>
          <w:ilvl w:val="0"/>
          <w:numId w:val="26"/>
        </w:numPr>
        <w:spacing w:after="18" w:line="259" w:lineRule="auto"/>
        <w:jc w:val="both"/>
        <w:rPr>
          <w:rFonts w:ascii="Times New Roman" w:eastAsia="Times New Roman" w:hAnsi="Times New Roman" w:cs="Times New Roman"/>
          <w:color w:val="000000"/>
          <w:sz w:val="24"/>
        </w:rPr>
      </w:pPr>
      <w:r w:rsidRPr="001077AE">
        <w:rPr>
          <w:rFonts w:ascii="Times New Roman" w:eastAsia="Times New Roman" w:hAnsi="Times New Roman" w:cs="Times New Roman"/>
          <w:b/>
          <w:color w:val="000000"/>
          <w:sz w:val="24"/>
        </w:rPr>
        <w:t>Blanket Fidelity Bond Coverage:</w:t>
      </w:r>
    </w:p>
    <w:p w:rsidR="00786D69" w:rsidRPr="00786D69" w:rsidRDefault="00786D69" w:rsidP="00786D69">
      <w:pPr>
        <w:widowControl/>
        <w:spacing w:after="0" w:line="273" w:lineRule="auto"/>
        <w:ind w:left="720"/>
        <w:rPr>
          <w:rFonts w:ascii="Times New Roman" w:eastAsia="Times New Roman" w:hAnsi="Times New Roman" w:cs="Times New Roman"/>
          <w:color w:val="000000"/>
          <w:sz w:val="24"/>
        </w:rPr>
      </w:pPr>
      <w:r w:rsidRPr="00786D69">
        <w:rPr>
          <w:rFonts w:ascii="Times New Roman" w:eastAsia="Times New Roman" w:hAnsi="Times New Roman" w:cs="Times New Roman"/>
          <w:color w:val="000000"/>
          <w:sz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CA73D6" w:rsidRDefault="00CA73D6" w:rsidP="00786D69">
      <w:pPr>
        <w:contextualSpacing/>
        <w:rPr>
          <w:rFonts w:ascii="Times New Roman" w:eastAsia="Times New Roman" w:hAnsi="Times New Roman" w:cs="Times New Roman"/>
          <w:spacing w:val="5"/>
          <w:position w:val="-1"/>
          <w:sz w:val="24"/>
          <w:szCs w:val="24"/>
        </w:rPr>
      </w:pPr>
    </w:p>
    <w:p w:rsidR="007F5816" w:rsidRPr="001077AE" w:rsidRDefault="007F5816" w:rsidP="001077AE">
      <w:pPr>
        <w:pStyle w:val="ListParagraph"/>
        <w:numPr>
          <w:ilvl w:val="0"/>
          <w:numId w:val="26"/>
        </w:numPr>
        <w:spacing w:after="0" w:line="240" w:lineRule="auto"/>
        <w:jc w:val="both"/>
        <w:rPr>
          <w:rFonts w:ascii="Times New Roman" w:hAnsi="Times New Roman" w:cs="Times New Roman"/>
          <w:b/>
          <w:bCs/>
          <w:sz w:val="24"/>
          <w:szCs w:val="24"/>
        </w:rPr>
      </w:pPr>
      <w:r w:rsidRPr="001077AE">
        <w:rPr>
          <w:rFonts w:ascii="Times New Roman" w:eastAsia="Times New Roman" w:hAnsi="Times New Roman" w:cs="Times New Roman"/>
          <w:b/>
          <w:bCs/>
          <w:spacing w:val="1"/>
          <w:sz w:val="24"/>
          <w:szCs w:val="24"/>
        </w:rPr>
        <w:t>Sufficient Information</w:t>
      </w:r>
      <w:r w:rsidRPr="001077A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D0DF3">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D0DF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1077AE">
      <w:rPr>
        <w:rFonts w:ascii="Times New Roman" w:hAnsi="Times New Roman" w:cs="Times New Roman"/>
        <w:sz w:val="24"/>
        <w:szCs w:val="24"/>
      </w:rPr>
      <w:t>229</w:t>
    </w:r>
    <w:r w:rsidR="00BF13CC">
      <w:rPr>
        <w:rFonts w:ascii="Times New Roman" w:hAnsi="Times New Roman" w:cs="Times New Roman"/>
        <w:sz w:val="24"/>
        <w:szCs w:val="24"/>
      </w:rPr>
      <w:t>74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59346C">
      <w:rPr>
        <w:rFonts w:ascii="Times New Roman" w:hAnsi="Times New Roman" w:cs="Times New Roman"/>
        <w:sz w:val="24"/>
        <w:szCs w:val="24"/>
      </w:rPr>
      <w:t>*</w:t>
    </w:r>
    <w:proofErr w:type="spellStart"/>
    <w:r w:rsidR="0059346C" w:rsidRPr="0059346C">
      <w:rPr>
        <w:rFonts w:ascii="Times New Roman" w:hAnsi="Times New Roman" w:cs="Times New Roman"/>
        <w:bCs/>
        <w:sz w:val="24"/>
        <w:szCs w:val="24"/>
      </w:rPr>
      <w:t>ReBid</w:t>
    </w:r>
    <w:proofErr w:type="spellEnd"/>
    <w:r w:rsidR="0059346C">
      <w:rPr>
        <w:rFonts w:ascii="Times New Roman" w:hAnsi="Times New Roman" w:cs="Times New Roman"/>
        <w:b/>
        <w:bCs/>
        <w:sz w:val="24"/>
        <w:szCs w:val="24"/>
      </w:rPr>
      <w:t xml:space="preserve">* </w:t>
    </w:r>
    <w:r w:rsidR="001077AE">
      <w:rPr>
        <w:rFonts w:ascii="Times New Roman" w:hAnsi="Times New Roman" w:cs="Times New Roman"/>
        <w:sz w:val="24"/>
        <w:szCs w:val="24"/>
      </w:rPr>
      <w:t>Armed Guard Services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1077AE">
      <w:rPr>
        <w:rFonts w:ascii="Times New Roman" w:hAnsi="Times New Roman" w:cs="Times New Roman"/>
        <w:sz w:val="24"/>
        <w:szCs w:val="24"/>
      </w:rPr>
      <w:t>LWC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30A"/>
    <w:multiLevelType w:val="hybridMultilevel"/>
    <w:tmpl w:val="333044F8"/>
    <w:lvl w:ilvl="0" w:tplc="476A1F06">
      <w:start w:val="1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74F1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9C96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7A8F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0CD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44C3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5668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1854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DAB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A75CC"/>
    <w:multiLevelType w:val="hybridMultilevel"/>
    <w:tmpl w:val="3CFC1C96"/>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97E2E"/>
    <w:multiLevelType w:val="hybridMultilevel"/>
    <w:tmpl w:val="0C2E97A4"/>
    <w:lvl w:ilvl="0" w:tplc="EC4E1EA8">
      <w:start w:val="1"/>
      <w:numFmt w:val="decimal"/>
      <w:lvlText w:val="%1."/>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4732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40F66">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09CE">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4C538">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2D1A2">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4FFB0">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880B0">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4AE26">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52486"/>
    <w:multiLevelType w:val="hybridMultilevel"/>
    <w:tmpl w:val="A84A991C"/>
    <w:lvl w:ilvl="0" w:tplc="592C825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A8CC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A50F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E7EE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A70E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0E1A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E92B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ACAE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2F6C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17A70"/>
    <w:multiLevelType w:val="hybridMultilevel"/>
    <w:tmpl w:val="E580270C"/>
    <w:lvl w:ilvl="0" w:tplc="5EFEC424">
      <w:start w:val="1"/>
      <w:numFmt w:val="decimal"/>
      <w:lvlText w:val="%1."/>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6DD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A16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B1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0F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0A0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21E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2E0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2D3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7152DE"/>
    <w:multiLevelType w:val="hybridMultilevel"/>
    <w:tmpl w:val="CAB8AE8C"/>
    <w:lvl w:ilvl="0" w:tplc="BF407BF6">
      <w:start w:val="1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E822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5E35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0E9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929B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F644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8241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AD1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46BA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D4B01"/>
    <w:multiLevelType w:val="hybridMultilevel"/>
    <w:tmpl w:val="3B3E2766"/>
    <w:lvl w:ilvl="0" w:tplc="EAAECA54">
      <w:start w:val="1"/>
      <w:numFmt w:val="decimal"/>
      <w:lvlText w:val="%1."/>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AA6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6AF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013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043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A8D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1D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267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212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8"/>
  </w:num>
  <w:num w:numId="3">
    <w:abstractNumId w:val="24"/>
  </w:num>
  <w:num w:numId="4">
    <w:abstractNumId w:val="5"/>
  </w:num>
  <w:num w:numId="5">
    <w:abstractNumId w:val="9"/>
  </w:num>
  <w:num w:numId="6">
    <w:abstractNumId w:val="23"/>
  </w:num>
  <w:num w:numId="7">
    <w:abstractNumId w:val="17"/>
  </w:num>
  <w:num w:numId="8">
    <w:abstractNumId w:val="25"/>
  </w:num>
  <w:num w:numId="9">
    <w:abstractNumId w:val="26"/>
  </w:num>
  <w:num w:numId="10">
    <w:abstractNumId w:val="11"/>
  </w:num>
  <w:num w:numId="11">
    <w:abstractNumId w:val="20"/>
  </w:num>
  <w:num w:numId="12">
    <w:abstractNumId w:val="40"/>
  </w:num>
  <w:num w:numId="13">
    <w:abstractNumId w:val="29"/>
  </w:num>
  <w:num w:numId="14">
    <w:abstractNumId w:val="34"/>
  </w:num>
  <w:num w:numId="15">
    <w:abstractNumId w:val="7"/>
  </w:num>
  <w:num w:numId="16">
    <w:abstractNumId w:val="18"/>
  </w:num>
  <w:num w:numId="17">
    <w:abstractNumId w:val="2"/>
  </w:num>
  <w:num w:numId="18">
    <w:abstractNumId w:val="30"/>
  </w:num>
  <w:num w:numId="19">
    <w:abstractNumId w:val="31"/>
  </w:num>
  <w:num w:numId="20">
    <w:abstractNumId w:val="8"/>
  </w:num>
  <w:num w:numId="21">
    <w:abstractNumId w:val="27"/>
  </w:num>
  <w:num w:numId="22">
    <w:abstractNumId w:val="19"/>
  </w:num>
  <w:num w:numId="23">
    <w:abstractNumId w:val="21"/>
  </w:num>
  <w:num w:numId="24">
    <w:abstractNumId w:val="10"/>
  </w:num>
  <w:num w:numId="25">
    <w:abstractNumId w:val="14"/>
  </w:num>
  <w:num w:numId="26">
    <w:abstractNumId w:val="1"/>
  </w:num>
  <w:num w:numId="27">
    <w:abstractNumId w:val="38"/>
  </w:num>
  <w:num w:numId="28">
    <w:abstractNumId w:val="35"/>
  </w:num>
  <w:num w:numId="29">
    <w:abstractNumId w:val="16"/>
  </w:num>
  <w:num w:numId="30">
    <w:abstractNumId w:val="6"/>
  </w:num>
  <w:num w:numId="31">
    <w:abstractNumId w:val="37"/>
  </w:num>
  <w:num w:numId="32">
    <w:abstractNumId w:val="32"/>
  </w:num>
  <w:num w:numId="33">
    <w:abstractNumId w:val="4"/>
  </w:num>
  <w:num w:numId="34">
    <w:abstractNumId w:val="33"/>
  </w:num>
  <w:num w:numId="35">
    <w:abstractNumId w:val="43"/>
  </w:num>
  <w:num w:numId="36">
    <w:abstractNumId w:val="39"/>
  </w:num>
  <w:num w:numId="37">
    <w:abstractNumId w:val="12"/>
  </w:num>
  <w:num w:numId="38">
    <w:abstractNumId w:val="13"/>
  </w:num>
  <w:num w:numId="39">
    <w:abstractNumId w:val="0"/>
  </w:num>
  <w:num w:numId="40">
    <w:abstractNumId w:val="3"/>
  </w:num>
  <w:num w:numId="41">
    <w:abstractNumId w:val="22"/>
  </w:num>
  <w:num w:numId="42">
    <w:abstractNumId w:val="41"/>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077AE"/>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346C"/>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0DF3"/>
    <w:rsid w:val="006D3A6F"/>
    <w:rsid w:val="006D41D2"/>
    <w:rsid w:val="006E09BB"/>
    <w:rsid w:val="006F35DB"/>
    <w:rsid w:val="006F6A58"/>
    <w:rsid w:val="007005F8"/>
    <w:rsid w:val="0072093B"/>
    <w:rsid w:val="00720A8E"/>
    <w:rsid w:val="0073309B"/>
    <w:rsid w:val="00744179"/>
    <w:rsid w:val="007539D1"/>
    <w:rsid w:val="007670EF"/>
    <w:rsid w:val="00781D34"/>
    <w:rsid w:val="00786D69"/>
    <w:rsid w:val="007943D3"/>
    <w:rsid w:val="007A13E0"/>
    <w:rsid w:val="007A7C1D"/>
    <w:rsid w:val="007B29CA"/>
    <w:rsid w:val="007B752C"/>
    <w:rsid w:val="007C1D07"/>
    <w:rsid w:val="007C4572"/>
    <w:rsid w:val="007D2093"/>
    <w:rsid w:val="007F5816"/>
    <w:rsid w:val="00800655"/>
    <w:rsid w:val="008137A6"/>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F13CC"/>
    <w:rsid w:val="00C04C44"/>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C13B9"/>
    <w:rsid w:val="00FC14B1"/>
    <w:rsid w:val="00FC6F1B"/>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9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9FB3-461A-459E-ABFA-2312673B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50</TotalTime>
  <Pages>8</Pages>
  <Words>2830</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6</cp:revision>
  <cp:lastPrinted>2024-05-10T15:12:00Z</cp:lastPrinted>
  <dcterms:created xsi:type="dcterms:W3CDTF">2024-05-08T13:52:00Z</dcterms:created>
  <dcterms:modified xsi:type="dcterms:W3CDTF">2024-05-13T16:36:00Z</dcterms:modified>
</cp:coreProperties>
</file>