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w:t>
      </w:r>
      <w:r w:rsidR="005F62FB">
        <w:rPr>
          <w:rFonts w:ascii="Times New Roman" w:hAnsi="Times New Roman" w:cs="Times New Roman"/>
          <w:sz w:val="24"/>
          <w:szCs w:val="24"/>
        </w:rPr>
        <w:t>an initial period beginning date of award and ending June 30, 2024</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E92614" w:rsidRDefault="00E92614" w:rsidP="00E92614">
      <w:pPr>
        <w:spacing w:after="0"/>
        <w:ind w:left="720"/>
        <w:contextualSpacing/>
        <w:rPr>
          <w:rFonts w:ascii="Times New Roman" w:hAnsi="Times New Roman"/>
          <w:sz w:val="24"/>
          <w:szCs w:val="24"/>
        </w:rPr>
      </w:pPr>
      <w:r w:rsidRPr="006F3A55">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6F3A55" w:rsidRDefault="006F3A55" w:rsidP="00E92614">
      <w:pPr>
        <w:spacing w:after="0"/>
        <w:ind w:left="720"/>
        <w:contextualSpacing/>
        <w:rPr>
          <w:rFonts w:ascii="Times New Roman" w:hAnsi="Times New Roman"/>
          <w:sz w:val="24"/>
          <w:szCs w:val="24"/>
        </w:rPr>
      </w:pPr>
    </w:p>
    <w:p w:rsidR="006F3A55" w:rsidRPr="006F3A55" w:rsidRDefault="006F3A55" w:rsidP="006F3A55">
      <w:pPr>
        <w:contextualSpacing/>
        <w:rPr>
          <w:rFonts w:ascii="Times New Roman" w:hAnsi="Times New Roman"/>
          <w:b/>
          <w:sz w:val="24"/>
          <w:szCs w:val="24"/>
        </w:rPr>
      </w:pPr>
      <w:r>
        <w:rPr>
          <w:rFonts w:ascii="Times New Roman" w:hAnsi="Times New Roman"/>
          <w:b/>
          <w:sz w:val="24"/>
          <w:szCs w:val="24"/>
        </w:rPr>
        <w:t xml:space="preserve">16. </w:t>
      </w:r>
      <w:r>
        <w:rPr>
          <w:rFonts w:ascii="Times New Roman" w:hAnsi="Times New Roman"/>
          <w:b/>
          <w:sz w:val="24"/>
          <w:szCs w:val="24"/>
        </w:rPr>
        <w:tab/>
      </w:r>
      <w:r w:rsidRPr="006F3A55">
        <w:rPr>
          <w:rFonts w:ascii="Times New Roman" w:hAnsi="Times New Roman"/>
          <w:b/>
          <w:sz w:val="24"/>
          <w:szCs w:val="24"/>
        </w:rPr>
        <w:t>End of FY Delivery:</w:t>
      </w:r>
    </w:p>
    <w:p w:rsidR="00FB64C9" w:rsidRDefault="006F3A55" w:rsidP="006F3A55">
      <w:pPr>
        <w:ind w:left="720"/>
        <w:contextualSpacing/>
        <w:rPr>
          <w:rFonts w:ascii="Times New Roman" w:hAnsi="Times New Roman"/>
          <w:sz w:val="24"/>
          <w:szCs w:val="24"/>
        </w:rPr>
      </w:pPr>
      <w:r w:rsidRPr="006F3A55">
        <w:rPr>
          <w:rFonts w:ascii="Times New Roman" w:hAnsi="Times New Roman"/>
          <w:sz w:val="24"/>
          <w:szCs w:val="24"/>
        </w:rPr>
        <w:t>Due to fiscal year constraints, funding may be unavailable for payment for items not delivered by June 30.  If delivery cannot be made in accordance with the</w:t>
      </w:r>
      <w:r w:rsidRPr="006F3A55">
        <w:rPr>
          <w:rFonts w:ascii="Times New Roman" w:hAnsi="Times New Roman"/>
          <w:b/>
          <w:color w:val="FF0000"/>
          <w:sz w:val="24"/>
          <w:szCs w:val="24"/>
        </w:rPr>
        <w:t xml:space="preserve"> </w:t>
      </w:r>
      <w:r w:rsidRPr="006F3A55">
        <w:rPr>
          <w:rFonts w:ascii="Times New Roman" w:hAnsi="Times New Roman"/>
          <w:sz w:val="24"/>
          <w:szCs w:val="24"/>
        </w:rPr>
        <w:t>order, vendor must advise the Agency of inability to supply.</w:t>
      </w:r>
    </w:p>
    <w:p w:rsidR="003B6C6C" w:rsidRDefault="003B6C6C" w:rsidP="006F3A55">
      <w:pPr>
        <w:ind w:left="720"/>
        <w:contextualSpacing/>
        <w:rPr>
          <w:rFonts w:ascii="Times New Roman" w:hAnsi="Times New Roman"/>
          <w:sz w:val="24"/>
          <w:szCs w:val="24"/>
        </w:rPr>
      </w:pPr>
    </w:p>
    <w:p w:rsidR="003B6C6C" w:rsidRPr="00BD4CB7" w:rsidRDefault="003B6C6C" w:rsidP="003B6C6C">
      <w:pPr>
        <w:spacing w:after="0"/>
        <w:rPr>
          <w:rFonts w:ascii="Times New Roman" w:eastAsia="PMingLiU" w:hAnsi="Times New Roman"/>
          <w:szCs w:val="24"/>
          <w:lang w:eastAsia="zh-TW"/>
        </w:rPr>
      </w:pPr>
      <w:r>
        <w:rPr>
          <w:rFonts w:ascii="Times New Roman" w:hAnsi="Times New Roman"/>
          <w:b/>
          <w:szCs w:val="24"/>
        </w:rPr>
        <w:t>17.</w:t>
      </w:r>
      <w:r>
        <w:rPr>
          <w:rFonts w:ascii="Times New Roman" w:hAnsi="Times New Roman"/>
          <w:b/>
          <w:szCs w:val="24"/>
        </w:rPr>
        <w:tab/>
      </w:r>
      <w:r w:rsidRPr="003B6C6C">
        <w:rPr>
          <w:rFonts w:ascii="Times New Roman" w:hAnsi="Times New Roman"/>
          <w:b/>
          <w:sz w:val="24"/>
          <w:szCs w:val="24"/>
        </w:rPr>
        <w:t>Insurance Requirements for Contractors:</w:t>
      </w:r>
      <w:r w:rsidRPr="00BD4CB7">
        <w:rPr>
          <w:rFonts w:ascii="Times New Roman" w:hAnsi="Times New Roman"/>
          <w:b/>
          <w:szCs w:val="24"/>
        </w:rPr>
        <w:t xml:space="preserve">  </w:t>
      </w:r>
    </w:p>
    <w:p w:rsidR="003B6C6C" w:rsidRPr="003B6C6C" w:rsidRDefault="003B6C6C" w:rsidP="003B6C6C">
      <w:pPr>
        <w:spacing w:after="0"/>
        <w:ind w:left="720"/>
        <w:rPr>
          <w:rFonts w:ascii="Times New Roman" w:eastAsia="PMingLiU" w:hAnsi="Times New Roman"/>
          <w:sz w:val="24"/>
          <w:szCs w:val="24"/>
          <w:lang w:eastAsia="zh-TW"/>
        </w:rPr>
      </w:pPr>
      <w:r w:rsidRPr="003B6C6C">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3B6C6C" w:rsidRPr="003B6C6C" w:rsidRDefault="003B6C6C" w:rsidP="003B6C6C">
      <w:pPr>
        <w:spacing w:after="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A.</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Minimum Scope and Limits of Insurance</w:t>
      </w: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u w:val="single"/>
          <w:lang w:eastAsia="zh-TW"/>
        </w:rPr>
      </w:pPr>
      <w:r w:rsidRPr="003B6C6C">
        <w:rPr>
          <w:rFonts w:ascii="Times New Roman" w:eastAsia="PMingLiU" w:hAnsi="Times New Roman"/>
          <w:sz w:val="24"/>
          <w:szCs w:val="24"/>
          <w:u w:val="single"/>
          <w:lang w:eastAsia="zh-TW"/>
        </w:rPr>
        <w:t>Workers Compensation</w:t>
      </w:r>
    </w:p>
    <w:p w:rsidR="003B6C6C" w:rsidRPr="003B6C6C" w:rsidRDefault="003B6C6C" w:rsidP="003B6C6C">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Workers Compensation insurance shall be in compliance with the Workers Compensation </w:t>
      </w:r>
      <w:r w:rsidRPr="003B6C6C">
        <w:rPr>
          <w:rFonts w:ascii="Times New Roman" w:eastAsia="PMingLiU" w:hAnsi="Times New Roman"/>
          <w:sz w:val="24"/>
          <w:szCs w:val="24"/>
          <w:lang w:eastAsia="zh-TW"/>
        </w:rPr>
        <w:lastRenderedPageBreak/>
        <w:t xml:space="preserve">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B6C6C" w:rsidRPr="003B6C6C" w:rsidRDefault="003B6C6C" w:rsidP="003B6C6C">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3B6C6C">
        <w:rPr>
          <w:rFonts w:ascii="Times New Roman" w:eastAsia="PMingLiU" w:hAnsi="Times New Roman"/>
          <w:sz w:val="24"/>
          <w:szCs w:val="24"/>
          <w:u w:val="single"/>
          <w:lang w:eastAsia="zh-TW"/>
        </w:rPr>
        <w:t>Commercial General Liability</w:t>
      </w:r>
    </w:p>
    <w:p w:rsidR="003B6C6C" w:rsidRPr="003B6C6C" w:rsidRDefault="003B6C6C" w:rsidP="003B6C6C">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3B6C6C">
        <w:rPr>
          <w:rFonts w:ascii="Times New Roman" w:eastAsia="PMingLiU" w:hAnsi="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3B6C6C" w:rsidRPr="003B6C6C" w:rsidRDefault="003B6C6C" w:rsidP="003B6C6C">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3B6C6C">
        <w:rPr>
          <w:rFonts w:ascii="Times New Roman" w:eastAsia="PMingLiU" w:hAnsi="Times New Roman"/>
          <w:sz w:val="24"/>
          <w:szCs w:val="24"/>
          <w:u w:val="single"/>
          <w:lang w:eastAsia="zh-TW"/>
        </w:rPr>
        <w:t>Automobile Liability</w:t>
      </w:r>
    </w:p>
    <w:p w:rsidR="003B6C6C" w:rsidRPr="003B6C6C" w:rsidRDefault="003B6C6C" w:rsidP="003B6C6C">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B6C6C">
        <w:rPr>
          <w:rFonts w:ascii="Times New Roman" w:eastAsia="PMingLiU" w:hAnsi="Times New Roman"/>
          <w:sz w:val="24"/>
          <w:szCs w:val="24"/>
          <w:lang w:eastAsia="zh-TW"/>
        </w:rPr>
        <w:noBreakHyphen/>
        <w:t>owned automobiles.</w:t>
      </w: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B.</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Deductibles and Self</w:t>
      </w:r>
      <w:r w:rsidRPr="003B6C6C">
        <w:rPr>
          <w:rFonts w:ascii="Times New Roman" w:eastAsia="PMingLiU" w:hAnsi="Times New Roman"/>
          <w:sz w:val="24"/>
          <w:szCs w:val="24"/>
          <w:u w:val="single"/>
          <w:lang w:eastAsia="zh-TW"/>
        </w:rPr>
        <w:noBreakHyphen/>
        <w:t>Insured Retentions</w:t>
      </w: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C.</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Other Insurance Provisions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The policies are to contain, or be endorsed to contain, the following provisions: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Commercial General Liability, Automobile Liability, and Cyber Liability Coverages</w:t>
      </w:r>
    </w:p>
    <w:p w:rsidR="003B6C6C" w:rsidRPr="003B6C6C" w:rsidRDefault="003B6C6C" w:rsidP="003B6C6C">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3B6C6C" w:rsidRPr="003B6C6C" w:rsidRDefault="003B6C6C" w:rsidP="003B6C6C">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B6C6C" w:rsidRPr="003B6C6C" w:rsidRDefault="003B6C6C" w:rsidP="003B6C6C">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Workers Compensation and Employers Liability Coverage</w:t>
      </w:r>
    </w:p>
    <w:p w:rsidR="003B6C6C" w:rsidRPr="003B6C6C" w:rsidRDefault="003B6C6C" w:rsidP="003B6C6C">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All Coverages</w:t>
      </w:r>
    </w:p>
    <w:p w:rsidR="003B6C6C" w:rsidRPr="003B6C6C" w:rsidRDefault="003B6C6C" w:rsidP="003B6C6C">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  </w:t>
      </w: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D.</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Acceptability of Insurers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3B6C6C">
        <w:rPr>
          <w:rFonts w:ascii="Times New Roman" w:eastAsia="PMingLiU" w:hAnsi="Times New Roman"/>
          <w:b/>
          <w:sz w:val="24"/>
          <w:szCs w:val="24"/>
          <w:lang w:eastAsia="zh-TW"/>
        </w:rPr>
        <w:t>A-</w:t>
      </w:r>
      <w:proofErr w:type="gramStart"/>
      <w:r w:rsidRPr="003B6C6C">
        <w:rPr>
          <w:rFonts w:ascii="Times New Roman" w:eastAsia="PMingLiU" w:hAnsi="Times New Roman"/>
          <w:b/>
          <w:sz w:val="24"/>
          <w:szCs w:val="24"/>
          <w:lang w:eastAsia="zh-TW"/>
        </w:rPr>
        <w:t>:VI</w:t>
      </w:r>
      <w:proofErr w:type="gramEnd"/>
      <w:r w:rsidRPr="003B6C6C">
        <w:rPr>
          <w:rFonts w:ascii="Times New Roman" w:eastAsia="PMingLiU" w:hAnsi="Times New Roman"/>
          <w:b/>
          <w:sz w:val="24"/>
          <w:szCs w:val="24"/>
          <w:lang w:eastAsia="zh-TW"/>
        </w:rPr>
        <w:t xml:space="preserve"> or higher</w:t>
      </w:r>
      <w:r w:rsidRPr="003B6C6C">
        <w:rPr>
          <w:rFonts w:ascii="Times New Roman" w:eastAsia="PMingLiU" w:hAnsi="Times New Roman"/>
          <w:sz w:val="24"/>
          <w:szCs w:val="24"/>
          <w:lang w:eastAsia="zh-TW"/>
        </w:rPr>
        <w:t xml:space="preserve">.  This rating requirement may be waived for workers’ compensation coverage only.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E.</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Verification of Coverage</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The Certificate Holder should be listed as follows: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State of Louisiana</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Office of State Procurement</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lastRenderedPageBreak/>
        <w:tab/>
      </w:r>
      <w:r w:rsidRPr="003B6C6C">
        <w:rPr>
          <w:rFonts w:ascii="Times New Roman" w:eastAsia="PMingLiU" w:hAnsi="Times New Roman"/>
          <w:sz w:val="24"/>
          <w:szCs w:val="24"/>
          <w:lang w:eastAsia="zh-TW"/>
        </w:rPr>
        <w:tab/>
        <w:t>1201 N. Third St. Suite 2-160</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Baton Rouge, LA 70802</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F.</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Subcontractors</w:t>
      </w:r>
    </w:p>
    <w:p w:rsidR="003B6C6C" w:rsidRPr="003B6C6C" w:rsidRDefault="003B6C6C" w:rsidP="003B6C6C">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G.</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Workers Compensation Indemnity</w:t>
      </w: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3B6C6C">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3B6C6C" w:rsidRPr="003B6C6C" w:rsidRDefault="003B6C6C" w:rsidP="003B6C6C">
      <w:pPr>
        <w:tabs>
          <w:tab w:val="left" w:pos="360"/>
        </w:tabs>
        <w:spacing w:after="0"/>
        <w:rPr>
          <w:rFonts w:ascii="Times New Roman" w:eastAsia="PMingLiU" w:hAnsi="Times New Roman"/>
          <w:sz w:val="24"/>
          <w:szCs w:val="24"/>
          <w:lang w:eastAsia="zh-TW"/>
        </w:rPr>
      </w:pPr>
    </w:p>
    <w:p w:rsidR="003B6C6C" w:rsidRPr="003B6C6C" w:rsidRDefault="003B6C6C" w:rsidP="003B6C6C">
      <w:pPr>
        <w:tabs>
          <w:tab w:val="left" w:pos="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H.</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Indemnification/Hold Harmless Agreement</w:t>
      </w:r>
    </w:p>
    <w:p w:rsidR="003B6C6C" w:rsidRPr="003B6C6C" w:rsidRDefault="003B6C6C" w:rsidP="003B6C6C">
      <w:pPr>
        <w:tabs>
          <w:tab w:val="left" w:pos="360"/>
        </w:tabs>
        <w:spacing w:after="0"/>
        <w:rPr>
          <w:rFonts w:ascii="Times New Roman" w:eastAsia="PMingLiU" w:hAnsi="Times New Roman"/>
          <w:sz w:val="24"/>
          <w:szCs w:val="24"/>
          <w:lang w:eastAsia="zh-TW"/>
        </w:rPr>
      </w:pPr>
    </w:p>
    <w:p w:rsidR="003B6C6C" w:rsidRPr="003B6C6C" w:rsidRDefault="003B6C6C" w:rsidP="003B6C6C">
      <w:pPr>
        <w:numPr>
          <w:ilvl w:val="0"/>
          <w:numId w:val="24"/>
        </w:numPr>
        <w:tabs>
          <w:tab w:val="left" w:pos="-720"/>
          <w:tab w:val="left" w:pos="39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w:t>
      </w:r>
      <w:r w:rsidRPr="003B6C6C">
        <w:rPr>
          <w:rFonts w:ascii="Times New Roman" w:eastAsia="PMingLiU" w:hAnsi="Times New Roman"/>
          <w:sz w:val="24"/>
          <w:szCs w:val="24"/>
          <w:lang w:eastAsia="zh-TW"/>
        </w:rPr>
        <w:lastRenderedPageBreak/>
        <w:t>demands, suits, or causes of action arising out of the negligence of the State of Louisiana, all State Departments, Agencies, Boards, Commissions, its officers, agents, servants, employees and volunteers.</w:t>
      </w:r>
    </w:p>
    <w:p w:rsidR="003B6C6C" w:rsidRPr="003B6C6C" w:rsidRDefault="003B6C6C" w:rsidP="003B6C6C">
      <w:pPr>
        <w:tabs>
          <w:tab w:val="left" w:pos="-720"/>
        </w:tabs>
        <w:spacing w:after="0"/>
        <w:ind w:left="360"/>
        <w:rPr>
          <w:rFonts w:ascii="Times New Roman" w:eastAsia="PMingLiU" w:hAnsi="Times New Roman"/>
          <w:sz w:val="24"/>
          <w:szCs w:val="24"/>
          <w:lang w:eastAsia="zh-TW"/>
        </w:rPr>
      </w:pPr>
    </w:p>
    <w:p w:rsidR="003B6C6C" w:rsidRPr="003B6C6C" w:rsidRDefault="003B6C6C" w:rsidP="003B6C6C">
      <w:pPr>
        <w:numPr>
          <w:ilvl w:val="0"/>
          <w:numId w:val="24"/>
        </w:numPr>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B6C6C" w:rsidRPr="003B6C6C" w:rsidRDefault="003B6C6C" w:rsidP="006F3A55">
      <w:pPr>
        <w:ind w:left="720"/>
        <w:contextualSpacing/>
        <w:rPr>
          <w:rFonts w:ascii="Times New Roman" w:hAnsi="Times New Roman"/>
          <w:sz w:val="24"/>
          <w:szCs w:val="24"/>
        </w:rPr>
      </w:pPr>
    </w:p>
    <w:p w:rsidR="00812F66" w:rsidRPr="00BD4CB7" w:rsidRDefault="00812F66" w:rsidP="00812F66">
      <w:pPr>
        <w:spacing w:before="29" w:after="0"/>
        <w:ind w:right="-20"/>
        <w:rPr>
          <w:rFonts w:ascii="Times New Roman" w:hAnsi="Times New Roman"/>
          <w:spacing w:val="-3"/>
          <w:szCs w:val="24"/>
        </w:rPr>
      </w:pPr>
      <w:r>
        <w:rPr>
          <w:rFonts w:ascii="Times New Roman" w:hAnsi="Times New Roman"/>
          <w:b/>
          <w:spacing w:val="-3"/>
          <w:sz w:val="24"/>
          <w:szCs w:val="24"/>
        </w:rPr>
        <w:t>18.</w:t>
      </w:r>
      <w:r>
        <w:rPr>
          <w:rFonts w:ascii="Times New Roman" w:hAnsi="Times New Roman"/>
          <w:b/>
          <w:spacing w:val="-3"/>
          <w:sz w:val="24"/>
          <w:szCs w:val="24"/>
        </w:rPr>
        <w:tab/>
      </w:r>
      <w:r w:rsidRPr="006F3A55">
        <w:rPr>
          <w:rFonts w:ascii="Times New Roman" w:hAnsi="Times New Roman"/>
          <w:b/>
          <w:spacing w:val="-3"/>
          <w:sz w:val="24"/>
          <w:szCs w:val="24"/>
        </w:rPr>
        <w:t>Art Work:</w:t>
      </w:r>
    </w:p>
    <w:p w:rsidR="00812F66" w:rsidRDefault="00812F66" w:rsidP="00812F66">
      <w:pPr>
        <w:spacing w:before="29" w:after="0"/>
        <w:ind w:left="720" w:right="-20"/>
        <w:rPr>
          <w:rFonts w:ascii="Times New Roman" w:hAnsi="Times New Roman"/>
          <w:spacing w:val="-3"/>
          <w:sz w:val="24"/>
          <w:szCs w:val="24"/>
        </w:rPr>
      </w:pPr>
      <w:r w:rsidRPr="006F3A55">
        <w:rPr>
          <w:rFonts w:ascii="Times New Roman" w:hAnsi="Times New Roman"/>
          <w:spacing w:val="-3"/>
          <w:sz w:val="24"/>
          <w:szCs w:val="24"/>
        </w:rPr>
        <w:t>All art, color separations, film, negatives, tapes, disks, special plates and dies are to become the property of the State of Louisiana.  Contractor is to forward these to the Agency upon completion of this job.</w:t>
      </w:r>
    </w:p>
    <w:p w:rsidR="00D5611B" w:rsidRPr="00305D3E" w:rsidRDefault="00D5611B" w:rsidP="00A94AFD">
      <w:pPr>
        <w:widowControl/>
        <w:spacing w:after="0" w:line="240" w:lineRule="auto"/>
        <w:jc w:val="both"/>
        <w:rPr>
          <w:rFonts w:ascii="Times New Roman" w:hAnsi="Times New Roman" w:cs="Times New Roman"/>
          <w:sz w:val="24"/>
          <w:szCs w:val="24"/>
        </w:rPr>
      </w:pPr>
    </w:p>
    <w:p w:rsidR="00720A8E" w:rsidRPr="00305D3E" w:rsidRDefault="006F3A55"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812F66">
        <w:rPr>
          <w:rFonts w:ascii="Times New Roman" w:hAnsi="Times New Roman" w:cs="Times New Roman"/>
          <w:b/>
          <w:bCs/>
          <w:sz w:val="24"/>
          <w:szCs w:val="24"/>
        </w:rPr>
        <w:t>9</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6F3A55" w:rsidRPr="00812F66" w:rsidRDefault="00CA73D6" w:rsidP="00812F66">
      <w:pPr>
        <w:spacing w:line="240" w:lineRule="auto"/>
        <w:ind w:left="720"/>
        <w:jc w:val="both"/>
        <w:rPr>
          <w:rFonts w:ascii="Times New Roman" w:eastAsia="Times New Roman" w:hAnsi="Times New Roman" w:cs="Times New Roman"/>
          <w:spacing w:val="5"/>
          <w:position w:val="-1"/>
          <w:sz w:val="24"/>
          <w:szCs w:val="24"/>
        </w:rPr>
      </w:pP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003B6C6C">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00720A8E" w:rsidRPr="00305D3E">
        <w:rPr>
          <w:rFonts w:ascii="Times New Roman" w:eastAsia="Times New Roman" w:hAnsi="Times New Roman" w:cs="Times New Roman"/>
          <w:sz w:val="24"/>
          <w:szCs w:val="24"/>
        </w:rPr>
        <w:t>nd</w:t>
      </w:r>
      <w:r w:rsidR="003B6C6C">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00812F66">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r w:rsidRPr="00305D3E">
        <w:rPr>
          <w:rFonts w:ascii="Times New Roman" w:hAnsi="Times New Roman" w:cs="Times New Roman"/>
          <w:sz w:val="24"/>
          <w:szCs w:val="24"/>
        </w:rPr>
        <w:t xml:space="preserve">       </w:t>
      </w:r>
    </w:p>
    <w:p w:rsidR="001856F5" w:rsidRPr="00305D3E" w:rsidRDefault="005676FA"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r>
      <w:r w:rsidR="003B6C6C">
        <w:rPr>
          <w:rFonts w:ascii="Times New Roman" w:hAnsi="Times New Roman" w:cs="Times New Roman"/>
          <w:sz w:val="24"/>
          <w:szCs w:val="24"/>
        </w:rPr>
        <w:tab/>
      </w:r>
      <w:r w:rsidR="00CA73D6" w:rsidRPr="00305D3E">
        <w:rPr>
          <w:rFonts w:ascii="Times New Roman" w:hAnsi="Times New Roman" w:cs="Times New Roman"/>
          <w:sz w:val="24"/>
          <w:szCs w:val="24"/>
        </w:rPr>
        <w:t>********************************************************************************</w:t>
      </w:r>
      <w:r w:rsidR="00CA73D6"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Pr="00305D3E">
        <w:rPr>
          <w:rFonts w:ascii="Times New Roman" w:hAnsi="Times New Roman" w:cs="Times New Roman"/>
          <w:sz w:val="24"/>
          <w:szCs w:val="24"/>
        </w:rPr>
        <w:tab/>
      </w:r>
      <w:r w:rsidR="00CA73D6"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00CA73D6" w:rsidRPr="00305D3E">
        <w:rPr>
          <w:rFonts w:ascii="Times New Roman" w:hAnsi="Times New Roman" w:cs="Times New Roman"/>
          <w:sz w:val="24"/>
          <w:szCs w:val="24"/>
        </w:rPr>
        <w:t xml:space="preserve"> at the Office of State Procurement immediately.</w:t>
      </w:r>
    </w:p>
    <w:p w:rsidR="005F62FB"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5F62FB">
        <w:rPr>
          <w:rFonts w:ascii="Times New Roman" w:hAnsi="Times New Roman" w:cs="Times New Roman"/>
          <w:sz w:val="24"/>
          <w:szCs w:val="24"/>
        </w:rPr>
        <w:t>e Procurement Analyst: Kafayat Alli-Balogun, phone: 225-342-5650</w:t>
      </w:r>
      <w:r w:rsidR="00CA73D6" w:rsidRPr="00305D3E">
        <w:rPr>
          <w:rFonts w:ascii="Times New Roman" w:hAnsi="Times New Roman" w:cs="Times New Roman"/>
          <w:sz w:val="24"/>
          <w:szCs w:val="24"/>
        </w:rPr>
        <w:t xml:space="preserve">, </w:t>
      </w:r>
    </w:p>
    <w:p w:rsidR="00CA73D6" w:rsidRPr="00305D3E" w:rsidRDefault="00CA73D6" w:rsidP="005F62FB">
      <w:pPr>
        <w:spacing w:line="240" w:lineRule="auto"/>
        <w:ind w:left="-144" w:firstLine="864"/>
        <w:jc w:val="both"/>
        <w:rPr>
          <w:rFonts w:ascii="Times New Roman" w:hAnsi="Times New Roman" w:cs="Times New Roman"/>
          <w:sz w:val="24"/>
          <w:szCs w:val="24"/>
        </w:rPr>
      </w:pPr>
      <w:proofErr w:type="gramStart"/>
      <w:r w:rsidRPr="00305D3E">
        <w:rPr>
          <w:rFonts w:ascii="Times New Roman" w:hAnsi="Times New Roman" w:cs="Times New Roman"/>
          <w:sz w:val="24"/>
          <w:szCs w:val="24"/>
        </w:rPr>
        <w:t>email</w:t>
      </w:r>
      <w:proofErr w:type="gramEnd"/>
      <w:r w:rsidR="005F62FB">
        <w:rPr>
          <w:rFonts w:ascii="Times New Roman" w:hAnsi="Times New Roman" w:cs="Times New Roman"/>
          <w:sz w:val="24"/>
          <w:szCs w:val="24"/>
        </w:rPr>
        <w:t>: Kafayat.alli-balogun</w:t>
      </w:r>
      <w:r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FB" w:rsidRDefault="005F62FB">
      <w:pPr>
        <w:spacing w:after="0" w:line="240" w:lineRule="auto"/>
      </w:pPr>
      <w:r>
        <w:separator/>
      </w:r>
    </w:p>
  </w:endnote>
  <w:endnote w:type="continuationSeparator" w:id="0">
    <w:p w:rsidR="005F62FB" w:rsidRDefault="005F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C1894">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C189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FB" w:rsidRDefault="005F62FB">
      <w:pPr>
        <w:spacing w:after="0" w:line="240" w:lineRule="auto"/>
      </w:pPr>
      <w:r>
        <w:separator/>
      </w:r>
    </w:p>
  </w:footnote>
  <w:footnote w:type="continuationSeparator" w:id="0">
    <w:p w:rsidR="005F62FB" w:rsidRDefault="005F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F62FB">
      <w:rPr>
        <w:rFonts w:ascii="Times New Roman" w:hAnsi="Times New Roman" w:cs="Times New Roman"/>
        <w:sz w:val="24"/>
        <w:szCs w:val="24"/>
      </w:rPr>
      <w:t xml:space="preserve"> 30000</w:t>
    </w:r>
    <w:r w:rsidR="001C1894">
      <w:rPr>
        <w:rFonts w:ascii="Times New Roman" w:hAnsi="Times New Roman" w:cs="Times New Roman"/>
        <w:sz w:val="24"/>
        <w:szCs w:val="24"/>
      </w:rPr>
      <w:t>22951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F62FB">
      <w:rPr>
        <w:rFonts w:ascii="Times New Roman" w:hAnsi="Times New Roman" w:cs="Times New Roman"/>
        <w:sz w:val="24"/>
        <w:szCs w:val="24"/>
      </w:rPr>
      <w:t xml:space="preserve"> Microfiche and Microfilm Transfer</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1894"/>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B6C6C"/>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5F62FB"/>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3A55"/>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2F66"/>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92614"/>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2C5C6"/>
  <w15:chartTrackingRefBased/>
  <w15:docId w15:val="{54E680F4-0811-4E2B-8C3A-DB62517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9E70-EB0C-495B-8A1B-877F29B5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2846</Words>
  <Characters>15748</Characters>
  <Application>Microsoft Office Word</Application>
  <DocSecurity>0</DocSecurity>
  <Lines>333</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4</cp:revision>
  <cp:lastPrinted>2024-04-16T15:04:00Z</cp:lastPrinted>
  <dcterms:created xsi:type="dcterms:W3CDTF">2024-04-15T15:13:00Z</dcterms:created>
  <dcterms:modified xsi:type="dcterms:W3CDTF">2024-05-07T15:24:00Z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39901bc4-6bc4-4536-aaa0-dfe17edef086</vt:lpwstr>
  </property>
</Properties>
</file>