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Bidders are hereby advised that the Office of State Procurement (OSP) must receive bids at its physical location by</w:t>
      </w:r>
      <w:bookmarkStart w:id="0" w:name="_GoBack"/>
      <w:bookmarkEnd w:id="0"/>
      <w:r>
        <w:t xml:space="preserve"> the date and time specified on page one 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be submitted online by accessing the link on page one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B62B1E"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B62B1E"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B62B1E"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Only brands and numbers stated in the award are approved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00C00E62">
        <w:rPr>
          <w:rFonts w:ascii="Times New Roman" w:eastAsia="Times New Roman" w:hAnsi="Times New Roman" w:cs="Times New Roman"/>
          <w:sz w:val="24"/>
          <w:szCs w:val="24"/>
        </w:rPr>
        <w:t xml:space="preserve">um of </w:t>
      </w:r>
      <w:r w:rsidRPr="00014AD0">
        <w:rPr>
          <w:rFonts w:ascii="Times New Roman" w:eastAsia="Times New Roman" w:hAnsi="Times New Roman" w:cs="Times New Roman"/>
          <w:sz w:val="24"/>
          <w:szCs w:val="24"/>
        </w:rPr>
        <w:t>6</w:t>
      </w:r>
      <w:r w:rsidR="00C00E62">
        <w:rPr>
          <w:rFonts w:ascii="Times New Roman" w:eastAsia="Times New Roman" w:hAnsi="Times New Roman" w:cs="Times New Roman"/>
          <w:sz w:val="24"/>
          <w:szCs w:val="24"/>
        </w:rPr>
        <w:t>0</w:t>
      </w:r>
      <w:r w:rsidRPr="00014AD0">
        <w:rPr>
          <w:rFonts w:ascii="Times New Roman" w:eastAsia="Times New Roman" w:hAnsi="Times New Roman" w:cs="Times New Roman"/>
          <w:sz w:val="24"/>
          <w:szCs w:val="24"/>
        </w:rPr>
        <w:t xml:space="preserve">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nvoice will be submitted by the contractor to the using agency,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order number, quantity, unit price, and delivery point.  A separate invoice for each order delivered and accepted shall be submitted by the contractor in duplicate directly to the accounting department of the using agency.  Invoices shall show the amount of any cash discount, and shall be submitted on the contractor’s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ayment will be made on the basis of unit price as listed in this contract; such price and payment will constitute full compensation for furnishing and delivering the contract commodities.  In no case will the state agency refuse to make partial payments to the contractor although all items have not been delivered.  This payment in no way relieves the contractor of his responsibility to effect shipment of the balance of the order.  Payment will be made to vendor and address as shown on order.</w:t>
      </w:r>
    </w:p>
    <w:p w:rsidR="00660801" w:rsidRDefault="00660801" w:rsidP="00E56ACA">
      <w:pPr>
        <w:rPr>
          <w:rFonts w:ascii="Times New Roman" w:eastAsia="PMingLiU" w:hAnsi="Times New Roman" w:cs="Times New Roman"/>
          <w:b/>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C00E62">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certify that at le</w:t>
      </w:r>
      <w:r w:rsidR="00C00E62">
        <w:rPr>
          <w:rFonts w:ascii="Times New Roman" w:eastAsia="PMingLiU" w:hAnsi="Times New Roman" w:cs="Times New Roman"/>
          <w:sz w:val="24"/>
          <w:szCs w:val="24"/>
          <w:lang w:eastAsia="zh-TW"/>
        </w:rPr>
        <w:t>ast 50%</w:t>
      </w:r>
      <w:r w:rsidRPr="00F93EE4">
        <w:rPr>
          <w:rFonts w:ascii="Times New Roman" w:eastAsia="PMingLiU" w:hAnsi="Times New Roman" w:cs="Times New Roman"/>
          <w:sz w:val="24"/>
          <w:szCs w:val="24"/>
          <w:lang w:eastAsia="zh-TW"/>
        </w:rPr>
        <w:t xml:space="preserve">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w:t>
      </w:r>
      <w:r w:rsidR="00C00E62">
        <w:rPr>
          <w:rFonts w:ascii="Times New Roman" w:eastAsia="PMingLiU" w:hAnsi="Times New Roman" w:cs="Times New Roman"/>
          <w:sz w:val="24"/>
          <w:szCs w:val="24"/>
          <w:lang w:eastAsia="zh-TW"/>
        </w:rPr>
        <w:t xml:space="preserve">ducts by more than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w:t>
      </w:r>
      <w:r w:rsidR="00C00E62">
        <w:rPr>
          <w:rFonts w:ascii="Times New Roman" w:eastAsia="PMingLiU" w:hAnsi="Times New Roman" w:cs="Times New Roman"/>
          <w:sz w:val="24"/>
          <w:szCs w:val="24"/>
          <w:lang w:eastAsia="zh-TW"/>
        </w:rPr>
        <w:t xml:space="preserve">cts by more than </w:t>
      </w:r>
      <w:r w:rsidRPr="00F93EE4">
        <w:rPr>
          <w:rFonts w:ascii="Times New Roman" w:eastAsia="PMingLiU" w:hAnsi="Times New Roman" w:cs="Times New Roman"/>
          <w:sz w:val="24"/>
          <w:szCs w:val="24"/>
          <w:lang w:eastAsia="zh-TW"/>
        </w:rPr>
        <w:t>7%.</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w:t>
      </w:r>
      <w:r w:rsidRPr="00F93EE4">
        <w:rPr>
          <w:rFonts w:ascii="Times New Roman" w:eastAsia="PMingLiU" w:hAnsi="Times New Roman" w:cs="Times New Roman"/>
          <w:sz w:val="24"/>
          <w:szCs w:val="24"/>
          <w:lang w:eastAsia="zh-TW"/>
        </w:rPr>
        <w:lastRenderedPageBreak/>
        <w:t>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w:t>
      </w:r>
      <w:r w:rsidR="00C00E62">
        <w:rPr>
          <w:rFonts w:ascii="Times New Roman" w:eastAsia="PMingLiU" w:hAnsi="Times New Roman" w:cs="Times New Roman"/>
          <w:sz w:val="24"/>
          <w:szCs w:val="24"/>
          <w:lang w:eastAsia="zh-TW"/>
        </w:rPr>
        <w:t>State by more than 10%</w:t>
      </w:r>
      <w:r w:rsidRPr="00F93EE4">
        <w:rPr>
          <w:rFonts w:ascii="Times New Roman" w:eastAsia="PMingLiU" w:hAnsi="Times New Roman" w:cs="Times New Roman"/>
          <w:sz w:val="24"/>
          <w:szCs w:val="24"/>
          <w:lang w:eastAsia="zh-TW"/>
        </w:rPr>
        <w:t>.</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bidder offers Louisiana item</w:t>
      </w:r>
      <w:r w:rsidR="00C00E62">
        <w:rPr>
          <w:rFonts w:ascii="Times New Roman" w:eastAsia="PMingLiU" w:hAnsi="Times New Roman" w:cs="Times New Roman"/>
          <w:sz w:val="24"/>
          <w:szCs w:val="24"/>
          <w:lang w:eastAsia="zh-TW"/>
        </w:rPr>
        <w:t xml:space="preserve">s which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Proof of “produced in the United States” status </w:t>
      </w:r>
      <w:r w:rsidR="00C00E62">
        <w:rPr>
          <w:rFonts w:ascii="Times New Roman" w:hAnsi="Times New Roman" w:cs="Times New Roman"/>
          <w:sz w:val="24"/>
          <w:szCs w:val="24"/>
        </w:rPr>
        <w:t>shall be provided within seven</w:t>
      </w:r>
      <w:r w:rsidRPr="000D1944">
        <w:rPr>
          <w:rFonts w:ascii="Times New Roman" w:hAnsi="Times New Roman" w:cs="Times New Roman"/>
          <w:sz w:val="24"/>
          <w:szCs w:val="24"/>
        </w:rPr>
        <w:t xml:space="preserve">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w:t>
      </w:r>
      <w:r w:rsidR="00C00E62">
        <w:rPr>
          <w:rFonts w:ascii="Times New Roman" w:hAnsi="Times New Roman" w:cs="Times New Roman"/>
          <w:sz w:val="24"/>
          <w:szCs w:val="24"/>
        </w:rPr>
        <w:t xml:space="preserve">a copy to this office within </w:t>
      </w:r>
      <w:r w:rsidRPr="00100114">
        <w:rPr>
          <w:rFonts w:ascii="Times New Roman" w:hAnsi="Times New Roman" w:cs="Times New Roman"/>
          <w:sz w:val="24"/>
          <w:szCs w:val="24"/>
        </w:rPr>
        <w:t xml:space="preserve">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Any equipment delivered under this specification is subject to rejection if there is evidence of poor workmanship by either the vendor, or the original manufacturer.  Any defect must be corrected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B1E" w:rsidRDefault="00B62B1E" w:rsidP="00D86773">
      <w:r>
        <w:separator/>
      </w:r>
    </w:p>
  </w:endnote>
  <w:endnote w:type="continuationSeparator" w:id="0">
    <w:p w:rsidR="00B62B1E" w:rsidRDefault="00B62B1E"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D62983">
              <w:rPr>
                <w:rFonts w:ascii="Times New Roman" w:hAnsi="Times New Roman" w:cs="Times New Roman"/>
                <w:b/>
                <w:bCs/>
                <w:noProof/>
              </w:rPr>
              <w:t>6</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D62983">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B1E" w:rsidRDefault="00B62B1E" w:rsidP="00D86773">
      <w:r>
        <w:separator/>
      </w:r>
    </w:p>
  </w:footnote>
  <w:footnote w:type="continuationSeparator" w:id="0">
    <w:p w:rsidR="00B62B1E" w:rsidRDefault="00B62B1E"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0D389A">
      <w:rPr>
        <w:rFonts w:ascii="Times New Roman" w:hAnsi="Times New Roman" w:cs="Times New Roman"/>
        <w:b/>
        <w:iCs/>
        <w:sz w:val="24"/>
        <w:szCs w:val="24"/>
      </w:rPr>
      <w:t>2</w:t>
    </w:r>
    <w:r w:rsidR="00D62983">
      <w:rPr>
        <w:rFonts w:ascii="Times New Roman" w:hAnsi="Times New Roman" w:cs="Times New Roman"/>
        <w:b/>
        <w:iCs/>
        <w:sz w:val="24"/>
        <w:szCs w:val="24"/>
      </w:rPr>
      <w:t>416</w:t>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0D389A">
      <w:rPr>
        <w:rFonts w:ascii="Times New Roman" w:hAnsi="Times New Roman" w:cs="Times New Roman"/>
        <w:b/>
        <w:iCs/>
        <w:sz w:val="24"/>
        <w:szCs w:val="24"/>
      </w:rPr>
      <w:tab/>
    </w:r>
    <w:r w:rsidR="000D389A">
      <w:rPr>
        <w:rFonts w:ascii="Times New Roman" w:hAnsi="Times New Roman" w:cs="Times New Roman"/>
        <w:b/>
        <w:iCs/>
        <w:sz w:val="24"/>
        <w:szCs w:val="24"/>
      </w:rPr>
      <w:tab/>
    </w:r>
    <w:r w:rsidR="00D62983">
      <w:rPr>
        <w:rFonts w:ascii="Times New Roman" w:hAnsi="Times New Roman" w:cs="Times New Roman"/>
        <w:b/>
        <w:iCs/>
        <w:sz w:val="24"/>
        <w:szCs w:val="24"/>
      </w:rPr>
      <w:t>Box Truck, DPS-LSP</w:t>
    </w:r>
  </w:p>
  <w:p w:rsidR="00D62983" w:rsidRDefault="00D62983" w:rsidP="00C90739">
    <w:pPr>
      <w:autoSpaceDE w:val="0"/>
      <w:autoSpaceDN w:val="0"/>
      <w:adjustRightInd w:val="0"/>
      <w:jc w:val="center"/>
      <w:rPr>
        <w:rFonts w:ascii="Times New Roman" w:hAnsi="Times New Roman" w:cs="Times New Roman"/>
        <w:b/>
        <w:iCs/>
        <w:sz w:val="24"/>
        <w:szCs w:val="24"/>
      </w:rPr>
    </w:pP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93ECB"/>
    <w:rsid w:val="002A17FE"/>
    <w:rsid w:val="002A69AD"/>
    <w:rsid w:val="002B4F1B"/>
    <w:rsid w:val="002C2ACD"/>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55C02"/>
    <w:rsid w:val="00464B1A"/>
    <w:rsid w:val="004751CB"/>
    <w:rsid w:val="0047649F"/>
    <w:rsid w:val="00483CFF"/>
    <w:rsid w:val="00485753"/>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7FC2"/>
    <w:rsid w:val="005606C9"/>
    <w:rsid w:val="00566E10"/>
    <w:rsid w:val="00571075"/>
    <w:rsid w:val="00586111"/>
    <w:rsid w:val="005925BC"/>
    <w:rsid w:val="005950D0"/>
    <w:rsid w:val="005A6C9E"/>
    <w:rsid w:val="005B21B6"/>
    <w:rsid w:val="005B6421"/>
    <w:rsid w:val="005B6554"/>
    <w:rsid w:val="005D7A19"/>
    <w:rsid w:val="005F037C"/>
    <w:rsid w:val="005F0D15"/>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70645C"/>
    <w:rsid w:val="00717829"/>
    <w:rsid w:val="007233FD"/>
    <w:rsid w:val="00727AF0"/>
    <w:rsid w:val="00730C6B"/>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4DA3"/>
    <w:rsid w:val="0082102E"/>
    <w:rsid w:val="00843C29"/>
    <w:rsid w:val="00852AB7"/>
    <w:rsid w:val="0088109E"/>
    <w:rsid w:val="008854DF"/>
    <w:rsid w:val="00894433"/>
    <w:rsid w:val="008A195E"/>
    <w:rsid w:val="008A24B5"/>
    <w:rsid w:val="008C3174"/>
    <w:rsid w:val="008D0EF4"/>
    <w:rsid w:val="008D1937"/>
    <w:rsid w:val="008D31B5"/>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45FDF"/>
    <w:rsid w:val="00950783"/>
    <w:rsid w:val="00962DE4"/>
    <w:rsid w:val="009649CF"/>
    <w:rsid w:val="00984553"/>
    <w:rsid w:val="00984951"/>
    <w:rsid w:val="00996821"/>
    <w:rsid w:val="009B0D2E"/>
    <w:rsid w:val="009C2CC5"/>
    <w:rsid w:val="009D4BB7"/>
    <w:rsid w:val="009D6686"/>
    <w:rsid w:val="009E4093"/>
    <w:rsid w:val="009F089A"/>
    <w:rsid w:val="009F354D"/>
    <w:rsid w:val="00A0508D"/>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93C"/>
    <w:rsid w:val="00AE570B"/>
    <w:rsid w:val="00AE797E"/>
    <w:rsid w:val="00B11789"/>
    <w:rsid w:val="00B11841"/>
    <w:rsid w:val="00B14266"/>
    <w:rsid w:val="00B24D37"/>
    <w:rsid w:val="00B45242"/>
    <w:rsid w:val="00B45AE8"/>
    <w:rsid w:val="00B464DC"/>
    <w:rsid w:val="00B506C9"/>
    <w:rsid w:val="00B615FF"/>
    <w:rsid w:val="00B62B1E"/>
    <w:rsid w:val="00B6597C"/>
    <w:rsid w:val="00B80890"/>
    <w:rsid w:val="00B84E8D"/>
    <w:rsid w:val="00B8542F"/>
    <w:rsid w:val="00BA390F"/>
    <w:rsid w:val="00BC3062"/>
    <w:rsid w:val="00BD2305"/>
    <w:rsid w:val="00BD40B9"/>
    <w:rsid w:val="00BE08F8"/>
    <w:rsid w:val="00C00E62"/>
    <w:rsid w:val="00C027C9"/>
    <w:rsid w:val="00C034F5"/>
    <w:rsid w:val="00C106FA"/>
    <w:rsid w:val="00C12D28"/>
    <w:rsid w:val="00C1448B"/>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2983"/>
    <w:rsid w:val="00D66C59"/>
    <w:rsid w:val="00D81D66"/>
    <w:rsid w:val="00D857D2"/>
    <w:rsid w:val="00D859F1"/>
    <w:rsid w:val="00D86773"/>
    <w:rsid w:val="00D86F83"/>
    <w:rsid w:val="00D90AC1"/>
    <w:rsid w:val="00D93CD3"/>
    <w:rsid w:val="00DA2CAE"/>
    <w:rsid w:val="00DA58C4"/>
    <w:rsid w:val="00DA5FC9"/>
    <w:rsid w:val="00DB37A0"/>
    <w:rsid w:val="00DB6CAF"/>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81B80"/>
    <w:rsid w:val="00F84F69"/>
    <w:rsid w:val="00F85B46"/>
    <w:rsid w:val="00F93B3C"/>
    <w:rsid w:val="00F940AF"/>
    <w:rsid w:val="00F9672E"/>
    <w:rsid w:val="00FA08D5"/>
    <w:rsid w:val="00FA298A"/>
    <w:rsid w:val="00FA7417"/>
    <w:rsid w:val="00FA797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B7EA6"/>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B0A70-0B79-424D-8199-EC62FBE1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2022-09-06T20:51:00Z</cp:lastPrinted>
  <dcterms:created xsi:type="dcterms:W3CDTF">2024-01-11T14:51:00Z</dcterms:created>
  <dcterms:modified xsi:type="dcterms:W3CDTF">2024-01-11T14:51:00Z</dcterms:modified>
</cp:coreProperties>
</file>