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w:t>
      </w:r>
      <w:proofErr w:type="spellStart"/>
      <w:r>
        <w:rPr>
          <w:rFonts w:ascii="Times New Roman" w:hAnsi="Times New Roman" w:cs="Times New Roman"/>
          <w:sz w:val="24"/>
          <w:szCs w:val="24"/>
        </w:rPr>
        <w:t>LaGov</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32706E" w:rsidRDefault="0032706E" w:rsidP="0032706E">
      <w:pPr>
        <w:spacing w:before="16" w:after="0" w:line="260" w:lineRule="exact"/>
        <w:jc w:val="both"/>
        <w:rPr>
          <w:rFonts w:ascii="Times New Roman" w:hAnsi="Times New Roman" w:cs="Times New Roman"/>
          <w:sz w:val="24"/>
          <w:szCs w:val="24"/>
        </w:rPr>
      </w:pPr>
    </w:p>
    <w:p w:rsidR="00B45844" w:rsidRDefault="00B45844" w:rsidP="0032706E">
      <w:pPr>
        <w:spacing w:before="16" w:after="0" w:line="260" w:lineRule="exact"/>
        <w:jc w:val="both"/>
        <w:rPr>
          <w:rFonts w:ascii="Times New Roman" w:hAnsi="Times New Roman" w:cs="Times New Roman"/>
          <w:sz w:val="24"/>
          <w:szCs w:val="24"/>
        </w:rPr>
      </w:pPr>
    </w:p>
    <w:p w:rsidR="00F16F8E" w:rsidRDefault="00F16F8E"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w:t>
      </w:r>
      <w:proofErr w:type="spellStart"/>
      <w:r>
        <w:rPr>
          <w:rFonts w:ascii="Times New Roman" w:eastAsia="Times New Roman" w:hAnsi="Times New Roman" w:cs="Times New Roman"/>
          <w:spacing w:val="-5"/>
          <w:sz w:val="24"/>
          <w:szCs w:val="24"/>
        </w:rPr>
        <w:t>LaG</w:t>
      </w:r>
      <w:r w:rsidRPr="00380F04">
        <w:rPr>
          <w:rFonts w:ascii="Times New Roman" w:eastAsia="Times New Roman" w:hAnsi="Times New Roman" w:cs="Times New Roman"/>
          <w:spacing w:val="-5"/>
          <w:sz w:val="24"/>
          <w:szCs w:val="24"/>
        </w:rPr>
        <w:t>ov</w:t>
      </w:r>
      <w:proofErr w:type="spellEnd"/>
      <w:r w:rsidRPr="00380F04">
        <w:rPr>
          <w:rFonts w:ascii="Times New Roman" w:eastAsia="Times New Roman" w:hAnsi="Times New Roman" w:cs="Times New Roman"/>
          <w:spacing w:val="-5"/>
          <w:sz w:val="24"/>
          <w:szCs w:val="24"/>
        </w:rPr>
        <w:t xml:space="preserve">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5"/>
          <w:sz w:val="24"/>
          <w:szCs w:val="24"/>
        </w:rPr>
        <w:t>LaGov</w:t>
      </w:r>
      <w:proofErr w:type="spellEnd"/>
      <w:r>
        <w:rPr>
          <w:rFonts w:ascii="Times New Roman" w:eastAsia="Times New Roman" w:hAnsi="Times New Roman" w:cs="Times New Roman"/>
          <w:spacing w:val="-5"/>
          <w:sz w:val="24"/>
          <w:szCs w:val="24"/>
        </w:rPr>
        <w:t xml:space="preserve">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Default="006E09BB"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E215E2"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lastRenderedPageBreak/>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D9352B" w:rsidRPr="00C6062F" w:rsidRDefault="00D9352B" w:rsidP="006B34B6">
      <w:pPr>
        <w:widowControl/>
        <w:spacing w:after="0" w:line="240" w:lineRule="auto"/>
        <w:jc w:val="both"/>
        <w:rPr>
          <w:rFonts w:ascii="Times New Roman" w:eastAsia="PMingLiU" w:hAnsi="Times New Roman" w:cs="Times New Roman"/>
          <w:sz w:val="24"/>
          <w:szCs w:val="24"/>
          <w:lang w:eastAsia="zh-TW"/>
        </w:rPr>
      </w:pPr>
    </w:p>
    <w:p w:rsidR="003C3EBB" w:rsidRDefault="003C3EBB" w:rsidP="00D9352B">
      <w:pPr>
        <w:pStyle w:val="ListParagraph"/>
        <w:spacing w:after="0"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4B1F12" w:rsidRDefault="004B1F12" w:rsidP="004B1F12">
      <w:pPr>
        <w:pStyle w:val="ListParagraph"/>
        <w:spacing w:after="0" w:line="240" w:lineRule="auto"/>
        <w:ind w:left="0"/>
        <w:rPr>
          <w:rFonts w:ascii="Times New Roman" w:hAnsi="Times New Roman" w:cs="Times New Roman"/>
          <w:b/>
          <w:sz w:val="24"/>
          <w:szCs w:val="24"/>
        </w:rPr>
      </w:pPr>
    </w:p>
    <w:p w:rsidR="00B45844" w:rsidRPr="004B1F12" w:rsidRDefault="00B45844" w:rsidP="004B1F12">
      <w:pPr>
        <w:pStyle w:val="ListParagraph"/>
        <w:spacing w:after="0" w:line="240" w:lineRule="auto"/>
        <w:ind w:left="0"/>
        <w:rPr>
          <w:rFonts w:ascii="Times New Roman" w:hAnsi="Times New Roman" w:cs="Times New Roman"/>
          <w:b/>
          <w:sz w:val="24"/>
          <w:szCs w:val="24"/>
        </w:rPr>
      </w:pP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DB569B" w:rsidRPr="00BD7B8F" w:rsidRDefault="00DB569B" w:rsidP="00DB569B">
      <w:pPr>
        <w:tabs>
          <w:tab w:val="left" w:pos="180"/>
        </w:tabs>
        <w:contextualSpacing/>
        <w:rPr>
          <w:rFonts w:ascii="Times New Roman" w:hAnsi="Times New Roman"/>
          <w:b/>
          <w:sz w:val="24"/>
          <w:szCs w:val="24"/>
        </w:rPr>
      </w:pPr>
      <w:r w:rsidRPr="00BD7B8F">
        <w:rPr>
          <w:rFonts w:ascii="Times New Roman" w:hAnsi="Times New Roman"/>
          <w:b/>
          <w:bCs/>
          <w:sz w:val="24"/>
          <w:szCs w:val="24"/>
        </w:rPr>
        <w:lastRenderedPageBreak/>
        <w:t>1</w:t>
      </w:r>
      <w:r>
        <w:rPr>
          <w:rFonts w:ascii="Times New Roman" w:hAnsi="Times New Roman"/>
          <w:b/>
          <w:bCs/>
          <w:sz w:val="24"/>
          <w:szCs w:val="24"/>
        </w:rPr>
        <w:t>5</w:t>
      </w:r>
      <w:r w:rsidRPr="00BD7B8F">
        <w:rPr>
          <w:rFonts w:ascii="Times New Roman" w:hAnsi="Times New Roman"/>
          <w:b/>
          <w:bCs/>
          <w:sz w:val="24"/>
          <w:szCs w:val="24"/>
        </w:rPr>
        <w:t>.</w:t>
      </w:r>
      <w:r w:rsidRPr="00BD7B8F">
        <w:rPr>
          <w:rFonts w:ascii="Times New Roman" w:hAnsi="Times New Roman"/>
          <w:b/>
          <w:bCs/>
          <w:sz w:val="24"/>
          <w:szCs w:val="24"/>
        </w:rPr>
        <w:tab/>
      </w:r>
      <w:r w:rsidRPr="00BD7B8F">
        <w:rPr>
          <w:rFonts w:ascii="Times New Roman" w:hAnsi="Times New Roman"/>
          <w:b/>
          <w:sz w:val="24"/>
          <w:szCs w:val="24"/>
        </w:rPr>
        <w:t>Method of Award:</w:t>
      </w:r>
    </w:p>
    <w:p w:rsidR="00DB569B" w:rsidRDefault="00DB569B" w:rsidP="00DB569B">
      <w:pPr>
        <w:spacing w:after="0"/>
        <w:ind w:left="720"/>
        <w:contextualSpacing/>
        <w:rPr>
          <w:rFonts w:ascii="Times New Roman" w:hAnsi="Times New Roman"/>
          <w:sz w:val="24"/>
          <w:szCs w:val="24"/>
        </w:rPr>
      </w:pPr>
      <w:r w:rsidRPr="00BD7B8F">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B569B" w:rsidRDefault="00DB569B" w:rsidP="00DB569B">
      <w:pPr>
        <w:spacing w:after="0"/>
        <w:contextualSpacing/>
        <w:rPr>
          <w:rFonts w:ascii="Times New Roman" w:hAnsi="Times New Roman"/>
          <w:sz w:val="24"/>
          <w:szCs w:val="24"/>
        </w:rPr>
      </w:pPr>
    </w:p>
    <w:p w:rsidR="00CA73D6" w:rsidRPr="00DB569B" w:rsidRDefault="00DB569B" w:rsidP="00DB569B">
      <w:pPr>
        <w:spacing w:after="0"/>
        <w:contextualSpacing/>
        <w:rPr>
          <w:rFonts w:ascii="Times New Roman" w:hAnsi="Times New Roman"/>
          <w:sz w:val="24"/>
          <w:szCs w:val="24"/>
        </w:rPr>
      </w:pPr>
      <w:r>
        <w:rPr>
          <w:rFonts w:ascii="Times New Roman" w:hAnsi="Times New Roman" w:cs="Times New Roman"/>
          <w:b/>
          <w:bCs/>
          <w:sz w:val="24"/>
          <w:szCs w:val="24"/>
        </w:rPr>
        <w:t>16</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CA73D6">
      <w:pPr>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7A2710">
        <w:rPr>
          <w:rFonts w:ascii="Times New Roman" w:hAnsi="Times New Roman" w:cs="Times New Roman"/>
          <w:sz w:val="24"/>
          <w:szCs w:val="24"/>
        </w:rPr>
        <w:t>Emaly Tran, phone: 225-342-4820</w:t>
      </w:r>
      <w:r w:rsidR="00CA73D6">
        <w:rPr>
          <w:rFonts w:ascii="Times New Roman" w:hAnsi="Times New Roman" w:cs="Times New Roman"/>
          <w:sz w:val="24"/>
          <w:szCs w:val="24"/>
        </w:rPr>
        <w:t>, email</w:t>
      </w:r>
      <w:r w:rsidR="007A2710">
        <w:rPr>
          <w:rFonts w:ascii="Times New Roman" w:hAnsi="Times New Roman" w:cs="Times New Roman"/>
          <w:sz w:val="24"/>
          <w:szCs w:val="24"/>
        </w:rPr>
        <w:t xml:space="preserve">:  </w:t>
      </w:r>
      <w:hyperlink r:id="rId11" w:history="1">
        <w:r w:rsidR="007A2710" w:rsidRPr="0044583B">
          <w:rPr>
            <w:rStyle w:val="Hyperlink"/>
            <w:rFonts w:ascii="Times New Roman" w:hAnsi="Times New Roman" w:cs="Times New Roman"/>
            <w:sz w:val="24"/>
            <w:szCs w:val="24"/>
          </w:rPr>
          <w:t>emaly.tran@la.gov</w:t>
        </w:r>
      </w:hyperlink>
      <w:r w:rsidR="007A2710">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52" w:rsidRDefault="00F00A52">
      <w:pPr>
        <w:spacing w:after="0" w:line="240" w:lineRule="auto"/>
      </w:pPr>
      <w:r>
        <w:separator/>
      </w:r>
    </w:p>
  </w:endnote>
  <w:endnote w:type="continuationSeparator" w:id="0">
    <w:p w:rsidR="00F00A52" w:rsidRDefault="00F0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6E" w:rsidRDefault="0016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64E6E">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64E6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52" w:rsidRDefault="00F00A52">
      <w:pPr>
        <w:spacing w:after="0" w:line="240" w:lineRule="auto"/>
      </w:pPr>
      <w:r>
        <w:separator/>
      </w:r>
    </w:p>
  </w:footnote>
  <w:footnote w:type="continuationSeparator" w:id="0">
    <w:p w:rsidR="00F00A52" w:rsidRDefault="00F0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6E" w:rsidRDefault="0016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164E6E">
      <w:rPr>
        <w:rFonts w:ascii="Times New Roman" w:hAnsi="Times New Roman" w:cs="Times New Roman"/>
        <w:sz w:val="24"/>
        <w:szCs w:val="24"/>
      </w:rPr>
      <w:t xml:space="preserve"> 3000022044</w:t>
    </w:r>
    <w:r w:rsidRPr="001856F5">
      <w:rPr>
        <w:rFonts w:ascii="Times New Roman" w:hAnsi="Times New Roman" w:cs="Times New Roman"/>
        <w:sz w:val="24"/>
        <w:szCs w:val="24"/>
      </w:rPr>
      <w:tab/>
      <w:t>Title</w:t>
    </w:r>
    <w:r w:rsidR="005967CB">
      <w:rPr>
        <w:rFonts w:ascii="Times New Roman" w:hAnsi="Times New Roman" w:cs="Times New Roman"/>
        <w:sz w:val="24"/>
        <w:szCs w:val="24"/>
      </w:rPr>
      <w:t>:</w:t>
    </w:r>
    <w:r w:rsidR="007A2710">
      <w:rPr>
        <w:rFonts w:ascii="Times New Roman" w:hAnsi="Times New Roman" w:cs="Times New Roman"/>
        <w:sz w:val="24"/>
        <w:szCs w:val="24"/>
      </w:rPr>
      <w:t xml:space="preserve"> </w:t>
    </w:r>
    <w:r w:rsidR="00164E6E">
      <w:rPr>
        <w:rFonts w:ascii="Times New Roman" w:hAnsi="Times New Roman" w:cs="Times New Roman"/>
        <w:sz w:val="24"/>
        <w:szCs w:val="24"/>
      </w:rPr>
      <w:t>*</w:t>
    </w:r>
    <w:proofErr w:type="spellStart"/>
    <w:r w:rsidR="00164E6E">
      <w:rPr>
        <w:rFonts w:ascii="Times New Roman" w:hAnsi="Times New Roman" w:cs="Times New Roman"/>
        <w:sz w:val="24"/>
        <w:szCs w:val="24"/>
      </w:rPr>
      <w:t>ReBid</w:t>
    </w:r>
    <w:bookmarkStart w:id="0" w:name="_GoBack"/>
    <w:bookmarkEnd w:id="0"/>
    <w:proofErr w:type="spellEnd"/>
    <w:r w:rsidR="007A2710">
      <w:rPr>
        <w:rFonts w:ascii="Times New Roman" w:hAnsi="Times New Roman" w:cs="Times New Roman"/>
        <w:sz w:val="24"/>
        <w:szCs w:val="24"/>
      </w:rPr>
      <w:t>*FAX BID* Concrete – DOC-DCI</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5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64E6E"/>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271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569B"/>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0A52"/>
    <w:rsid w:val="00F020E5"/>
    <w:rsid w:val="00F0314F"/>
    <w:rsid w:val="00F03F5E"/>
    <w:rsid w:val="00F16F8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DC2ED2"/>
  <w15:chartTrackingRefBased/>
  <w15:docId w15:val="{3FE5BA1E-0460-423C-8DCB-E9B7D05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ly.tra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9D26-7ABD-4EBA-A42F-FB386600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7</TotalTime>
  <Pages>7</Pages>
  <Words>2295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Emaly Tran</cp:lastModifiedBy>
  <cp:revision>5</cp:revision>
  <cp:lastPrinted>2022-06-13T19:47:00Z</cp:lastPrinted>
  <dcterms:created xsi:type="dcterms:W3CDTF">2023-10-16T15:41:00Z</dcterms:created>
  <dcterms:modified xsi:type="dcterms:W3CDTF">2023-10-24T16:04:00Z</dcterms:modified>
</cp:coreProperties>
</file>