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proofErr w:type="gramStart"/>
      <w:r w:rsidR="00983322" w:rsidRPr="00C6062F">
        <w:t>submit</w:t>
      </w:r>
      <w:proofErr w:type="gramEnd"/>
      <w:r w:rsidR="00983322" w:rsidRPr="00C6062F">
        <w:t xml:space="preserve">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050988">
      <w:pPr>
        <w:pStyle w:val="ListParagraph"/>
        <w:numPr>
          <w:ilvl w:val="0"/>
          <w:numId w:val="26"/>
        </w:numPr>
        <w:spacing w:after="0" w:line="240" w:lineRule="auto"/>
        <w:ind w:left="630" w:right="184" w:hanging="630"/>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lastRenderedPageBreak/>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F22D70" w:rsidRDefault="002A4E18" w:rsidP="00F22D70">
      <w:pPr>
        <w:widowControl/>
        <w:spacing w:after="0" w:line="240" w:lineRule="auto"/>
        <w:ind w:left="720" w:hanging="990"/>
        <w:jc w:val="both"/>
        <w:rPr>
          <w:rFonts w:ascii="Times New Roman" w:eastAsia="PMingLiU" w:hAnsi="Times New Roman" w:cs="Times New Roman"/>
          <w:sz w:val="24"/>
          <w:szCs w:val="24"/>
          <w:lang w:eastAsia="zh-TW"/>
        </w:rPr>
      </w:pPr>
    </w:p>
    <w:p w:rsidR="003C3EBB" w:rsidRDefault="003C3EBB" w:rsidP="00EE477B">
      <w:pPr>
        <w:spacing w:after="0" w:line="240" w:lineRule="auto"/>
        <w:ind w:left="540" w:hanging="540"/>
        <w:rPr>
          <w:rFonts w:ascii="Times New Roman" w:hAnsi="Times New Roman" w:cs="Times New Roman"/>
          <w:b/>
          <w:sz w:val="24"/>
          <w:szCs w:val="24"/>
        </w:rPr>
      </w:pPr>
    </w:p>
    <w:p w:rsidR="001C494C" w:rsidRPr="00E215E2" w:rsidRDefault="001C494C" w:rsidP="00B86DED">
      <w:pPr>
        <w:pStyle w:val="ListParagraph"/>
        <w:spacing w:after="0" w:line="240" w:lineRule="auto"/>
        <w:ind w:left="540"/>
        <w:rPr>
          <w:rFonts w:ascii="Times New Roman" w:hAnsi="Times New Roman" w:cs="Times New Roman"/>
          <w:b/>
          <w:sz w:val="24"/>
          <w:szCs w:val="24"/>
        </w:rPr>
      </w:pPr>
    </w:p>
    <w:p w:rsidR="00172F15" w:rsidRPr="00E215E2" w:rsidRDefault="00172F15" w:rsidP="00050988">
      <w:pPr>
        <w:pStyle w:val="ListParagraph"/>
        <w:widowControl/>
        <w:numPr>
          <w:ilvl w:val="0"/>
          <w:numId w:val="26"/>
        </w:numPr>
        <w:spacing w:after="0" w:line="240" w:lineRule="auto"/>
        <w:ind w:left="720" w:hanging="720"/>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lastRenderedPageBreak/>
        <w:t>Literature:</w:t>
      </w:r>
    </w:p>
    <w:p w:rsidR="00172F15" w:rsidRPr="00E215E2" w:rsidRDefault="000976C7" w:rsidP="00050988">
      <w:pPr>
        <w:pStyle w:val="ListParagraph"/>
        <w:widowControl/>
        <w:tabs>
          <w:tab w:val="left" w:pos="720"/>
        </w:tabs>
        <w:spacing w:after="0" w:line="240" w:lineRule="auto"/>
        <w:ind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Literature and/or specifications must be submitted upon request; if requested, literature and/or specifications must be submitted within five (5) business days of written request.</w:t>
      </w:r>
    </w:p>
    <w:p w:rsidR="00172F15" w:rsidRPr="00C6062F" w:rsidRDefault="00172F15" w:rsidP="00050988">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50988">
      <w:pPr>
        <w:pStyle w:val="ListParagraph"/>
        <w:widowControl/>
        <w:spacing w:after="0" w:line="240" w:lineRule="auto"/>
        <w:ind w:hanging="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72F15" w:rsidRPr="00C6062F" w:rsidRDefault="00172F15" w:rsidP="00050988">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50988">
      <w:pPr>
        <w:pStyle w:val="ListParagraph"/>
        <w:widowControl/>
        <w:spacing w:after="0" w:line="240" w:lineRule="auto"/>
        <w:ind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050988">
      <w:pPr>
        <w:pStyle w:val="ListParagraph"/>
        <w:widowControl/>
        <w:spacing w:after="0" w:line="240" w:lineRule="auto"/>
        <w:ind w:left="540" w:hanging="540"/>
        <w:jc w:val="both"/>
        <w:rPr>
          <w:rFonts w:ascii="Times New Roman" w:eastAsia="PMingLiU" w:hAnsi="Times New Roman" w:cs="Times New Roman"/>
          <w:sz w:val="24"/>
          <w:szCs w:val="24"/>
          <w:lang w:eastAsia="zh-TW"/>
        </w:rPr>
      </w:pPr>
    </w:p>
    <w:p w:rsidR="00050988" w:rsidRPr="00E215E2" w:rsidRDefault="00050988" w:rsidP="00050988">
      <w:pPr>
        <w:pStyle w:val="ListParagraph"/>
        <w:numPr>
          <w:ilvl w:val="0"/>
          <w:numId w:val="26"/>
        </w:num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 </w:t>
      </w:r>
      <w:r w:rsidRPr="00E215E2">
        <w:rPr>
          <w:rFonts w:ascii="Times New Roman" w:hAnsi="Times New Roman" w:cs="Times New Roman"/>
          <w:b/>
          <w:sz w:val="24"/>
          <w:szCs w:val="24"/>
        </w:rPr>
        <w:t>Right to Inspect:</w:t>
      </w:r>
      <w:r w:rsidRPr="00E215E2">
        <w:rPr>
          <w:rFonts w:ascii="Times New Roman" w:hAnsi="Times New Roman" w:cs="Times New Roman"/>
          <w:sz w:val="24"/>
          <w:szCs w:val="24"/>
        </w:rPr>
        <w:t xml:space="preserve"> </w:t>
      </w:r>
    </w:p>
    <w:p w:rsidR="00050988" w:rsidRDefault="00050988" w:rsidP="0005098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050988" w:rsidRPr="00050988" w:rsidRDefault="00050988" w:rsidP="00050988">
      <w:pPr>
        <w:pStyle w:val="ListParagraph"/>
        <w:spacing w:after="0" w:line="240" w:lineRule="auto"/>
        <w:jc w:val="both"/>
        <w:rPr>
          <w:rFonts w:ascii="Times New Roman" w:hAnsi="Times New Roman" w:cs="Times New Roman"/>
          <w:sz w:val="24"/>
          <w:szCs w:val="24"/>
        </w:rPr>
      </w:pPr>
    </w:p>
    <w:p w:rsidR="00D7441A" w:rsidRPr="00050988" w:rsidRDefault="00D7441A" w:rsidP="00050988">
      <w:pPr>
        <w:pStyle w:val="ListParagraph"/>
        <w:numPr>
          <w:ilvl w:val="0"/>
          <w:numId w:val="26"/>
        </w:numPr>
        <w:tabs>
          <w:tab w:val="left" w:pos="810"/>
        </w:tabs>
        <w:spacing w:after="0" w:line="240" w:lineRule="auto"/>
        <w:ind w:left="720" w:hanging="720"/>
        <w:rPr>
          <w:rFonts w:ascii="Times New Roman" w:hAnsi="Times New Roman" w:cs="Times New Roman"/>
          <w:sz w:val="24"/>
          <w:szCs w:val="24"/>
        </w:rPr>
      </w:pPr>
      <w:r w:rsidRPr="00050988">
        <w:rPr>
          <w:rFonts w:ascii="Times New Roman" w:hAnsi="Times New Roman" w:cs="Times New Roman"/>
          <w:b/>
          <w:sz w:val="24"/>
          <w:szCs w:val="24"/>
        </w:rPr>
        <w:t>Contract Period:</w:t>
      </w:r>
    </w:p>
    <w:p w:rsidR="00050988" w:rsidRPr="00050988" w:rsidRDefault="00050988" w:rsidP="00050988">
      <w:pPr>
        <w:spacing w:after="0" w:line="240" w:lineRule="auto"/>
        <w:ind w:left="720" w:hanging="720"/>
        <w:rPr>
          <w:rFonts w:ascii="Times New Roman" w:hAnsi="Times New Roman" w:cs="Times New Roman"/>
          <w:sz w:val="24"/>
          <w:szCs w:val="24"/>
        </w:rPr>
      </w:pPr>
      <w:r w:rsidRPr="00050988">
        <w:rPr>
          <w:rFonts w:ascii="Times New Roman" w:hAnsi="Times New Roman" w:cs="Times New Roman"/>
          <w:sz w:val="24"/>
          <w:szCs w:val="24"/>
        </w:rPr>
        <w:t xml:space="preserve"> </w:t>
      </w:r>
      <w:r>
        <w:rPr>
          <w:rFonts w:ascii="Times New Roman" w:hAnsi="Times New Roman" w:cs="Times New Roman"/>
          <w:sz w:val="24"/>
          <w:szCs w:val="24"/>
        </w:rPr>
        <w:tab/>
      </w:r>
      <w:r w:rsidRPr="00050988">
        <w:rPr>
          <w:rFonts w:ascii="Times New Roman" w:hAnsi="Times New Roman" w:cs="Times New Roman"/>
          <w:sz w:val="24"/>
          <w:szCs w:val="24"/>
        </w:rPr>
        <w:t>This contract shall be effective for the period beginning date o</w:t>
      </w:r>
      <w:r w:rsidR="00FC1CF7">
        <w:rPr>
          <w:rFonts w:ascii="Times New Roman" w:hAnsi="Times New Roman" w:cs="Times New Roman"/>
          <w:sz w:val="24"/>
          <w:szCs w:val="24"/>
        </w:rPr>
        <w:t>f award and ending June 30, 2024</w:t>
      </w:r>
      <w:r w:rsidRPr="00050988">
        <w:rPr>
          <w:rFonts w:ascii="Times New Roman" w:hAnsi="Times New Roman" w:cs="Times New Roman"/>
          <w:sz w:val="24"/>
          <w:szCs w:val="24"/>
        </w:rPr>
        <w:t xml:space="preserve">    </w:t>
      </w:r>
    </w:p>
    <w:p w:rsidR="00050988" w:rsidRPr="00050988" w:rsidRDefault="00050988" w:rsidP="00050988">
      <w:pPr>
        <w:pStyle w:val="ListParagraph"/>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b/>
      </w:r>
    </w:p>
    <w:p w:rsidR="00050988" w:rsidRDefault="00050988" w:rsidP="00050988">
      <w:pPr>
        <w:pStyle w:val="ListParagraph"/>
        <w:numPr>
          <w:ilvl w:val="0"/>
          <w:numId w:val="26"/>
        </w:num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Estimated Quantity:</w:t>
      </w:r>
    </w:p>
    <w:p w:rsidR="00050988" w:rsidRDefault="00050988" w:rsidP="00050988">
      <w:pPr>
        <w:spacing w:after="0" w:line="240" w:lineRule="auto"/>
        <w:ind w:left="720"/>
        <w:rPr>
          <w:rFonts w:ascii="Times New Roman" w:hAnsi="Times New Roman" w:cs="Times New Roman"/>
          <w:sz w:val="24"/>
          <w:szCs w:val="24"/>
        </w:rPr>
      </w:pPr>
      <w:r w:rsidRPr="00050988">
        <w:rPr>
          <w:rFonts w:ascii="Times New Roman" w:hAnsi="Times New Roman" w:cs="Times New Roman"/>
          <w:sz w:val="24"/>
          <w:szCs w:val="24"/>
        </w:rPr>
        <w:t>The listed quantities are estimated to be the amount needed. In the event a</w:t>
      </w:r>
      <w:r>
        <w:rPr>
          <w:rFonts w:ascii="Times New Roman" w:hAnsi="Times New Roman" w:cs="Times New Roman"/>
          <w:sz w:val="24"/>
          <w:szCs w:val="24"/>
        </w:rPr>
        <w:t xml:space="preserve"> greater or lesser quantity is </w:t>
      </w:r>
      <w:r w:rsidRPr="00050988">
        <w:rPr>
          <w:rFonts w:ascii="Times New Roman" w:hAnsi="Times New Roman" w:cs="Times New Roman"/>
          <w:sz w:val="24"/>
          <w:szCs w:val="24"/>
        </w:rPr>
        <w:t>needed, the right is reserved by the State of Louisiana to increase or de</w:t>
      </w:r>
      <w:r>
        <w:rPr>
          <w:rFonts w:ascii="Times New Roman" w:hAnsi="Times New Roman" w:cs="Times New Roman"/>
          <w:sz w:val="24"/>
          <w:szCs w:val="24"/>
        </w:rPr>
        <w:t xml:space="preserve">crease the amount, at the unit </w:t>
      </w:r>
      <w:r w:rsidRPr="00050988">
        <w:rPr>
          <w:rFonts w:ascii="Times New Roman" w:hAnsi="Times New Roman" w:cs="Times New Roman"/>
          <w:sz w:val="24"/>
          <w:szCs w:val="24"/>
        </w:rPr>
        <w:t>price and terms stated in the bid.</w:t>
      </w:r>
    </w:p>
    <w:p w:rsidR="00050988" w:rsidRDefault="00050988" w:rsidP="00050988">
      <w:pPr>
        <w:spacing w:after="0" w:line="240" w:lineRule="auto"/>
        <w:ind w:left="720"/>
        <w:rPr>
          <w:rFonts w:ascii="Times New Roman" w:hAnsi="Times New Roman" w:cs="Times New Roman"/>
          <w:sz w:val="24"/>
          <w:szCs w:val="24"/>
        </w:rPr>
      </w:pPr>
    </w:p>
    <w:p w:rsidR="00483E2D" w:rsidRPr="00050988" w:rsidRDefault="00483E2D" w:rsidP="00050988">
      <w:pPr>
        <w:pStyle w:val="ListParagraph"/>
        <w:numPr>
          <w:ilvl w:val="0"/>
          <w:numId w:val="26"/>
        </w:numPr>
        <w:spacing w:after="0" w:line="240" w:lineRule="auto"/>
        <w:ind w:left="720" w:hanging="720"/>
        <w:rPr>
          <w:rFonts w:ascii="Times New Roman" w:hAnsi="Times New Roman" w:cs="Times New Roman"/>
          <w:sz w:val="24"/>
          <w:szCs w:val="24"/>
        </w:rPr>
      </w:pPr>
      <w:r w:rsidRPr="00050988">
        <w:rPr>
          <w:rFonts w:ascii="Times New Roman" w:hAnsi="Times New Roman" w:cs="Times New Roman"/>
          <w:b/>
          <w:sz w:val="24"/>
          <w:szCs w:val="24"/>
        </w:rPr>
        <w:t>Renewal Option:</w:t>
      </w:r>
    </w:p>
    <w:p w:rsidR="00D5611B" w:rsidRDefault="00E83BB9" w:rsidP="00B86DE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703F3C" w:rsidRPr="00703F3C" w:rsidRDefault="00703F3C" w:rsidP="00703F3C">
      <w:pPr>
        <w:widowControl/>
        <w:spacing w:after="0" w:line="240" w:lineRule="auto"/>
        <w:jc w:val="both"/>
        <w:rPr>
          <w:rFonts w:ascii="Times New Roman" w:hAnsi="Times New Roman" w:cs="Times New Roman"/>
          <w:b/>
          <w:sz w:val="24"/>
          <w:szCs w:val="24"/>
        </w:rPr>
      </w:pPr>
    </w:p>
    <w:p w:rsidR="00703F3C" w:rsidRPr="007230B5" w:rsidRDefault="00703F3C" w:rsidP="007230B5">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7230B5">
        <w:rPr>
          <w:rFonts w:ascii="Times New Roman" w:eastAsia="Times New Roman" w:hAnsi="Times New Roman" w:cs="Times New Roman"/>
          <w:b/>
          <w:bCs/>
          <w:sz w:val="24"/>
          <w:szCs w:val="24"/>
        </w:rPr>
        <w:tab/>
      </w:r>
      <w:r w:rsidRPr="007230B5">
        <w:rPr>
          <w:rFonts w:ascii="Times New Roman" w:hAnsi="Times New Roman" w:cs="Times New Roman"/>
          <w:b/>
          <w:sz w:val="24"/>
          <w:szCs w:val="24"/>
        </w:rPr>
        <w:t xml:space="preserve">Insurance Requirements for Contractors:  </w:t>
      </w:r>
    </w:p>
    <w:p w:rsidR="00703F3C" w:rsidRPr="00703F3C" w:rsidRDefault="00703F3C" w:rsidP="00703F3C">
      <w:pPr>
        <w:widowControl/>
        <w:spacing w:after="0" w:line="240" w:lineRule="auto"/>
        <w:ind w:left="72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703F3C" w:rsidRPr="00703F3C" w:rsidRDefault="00703F3C" w:rsidP="00703F3C">
      <w:pPr>
        <w:widowControl/>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A.</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Minimum Scope and Limits of Insurance</w:t>
      </w:r>
    </w:p>
    <w:p w:rsidR="00703F3C" w:rsidRPr="00703F3C" w:rsidRDefault="00703F3C" w:rsidP="00703F3C">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703F3C">
        <w:rPr>
          <w:rFonts w:ascii="Times New Roman" w:eastAsia="PMingLiU" w:hAnsi="Times New Roman" w:cs="Times New Roman"/>
          <w:sz w:val="24"/>
          <w:szCs w:val="24"/>
          <w:u w:val="single"/>
          <w:lang w:eastAsia="zh-TW"/>
        </w:rPr>
        <w:t>Workers Compensation</w:t>
      </w:r>
    </w:p>
    <w:p w:rsidR="00703F3C" w:rsidRPr="00703F3C" w:rsidRDefault="00703F3C" w:rsidP="00703F3C">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u w:val="single"/>
          <w:lang w:eastAsia="zh-TW"/>
        </w:rPr>
        <w:t>Commercial General Liability</w:t>
      </w:r>
    </w:p>
    <w:p w:rsidR="00703F3C" w:rsidRPr="00703F3C" w:rsidRDefault="00703F3C" w:rsidP="00703F3C">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Commercial General Liability insurance, including Personal and Advertising Injury Liability and Products and Completed Operations, shall have a minimum limit per occurrence of $1,000,000 and a minimum general aggregate of $2,000,000.  The Insurance Services Office </w:t>
      </w:r>
      <w:r w:rsidRPr="00703F3C">
        <w:rPr>
          <w:rFonts w:ascii="Times New Roman" w:eastAsia="PMingLiU" w:hAnsi="Times New Roman" w:cs="Times New Roman"/>
          <w:sz w:val="24"/>
          <w:szCs w:val="24"/>
          <w:lang w:eastAsia="zh-TW"/>
        </w:rPr>
        <w:lastRenderedPageBreak/>
        <w:t>(ISO) Commercial General Liability occurrence coverage form CG 00 01 (current form approved for use in Louisiana), or equivalent, is to be used in the policy.  Claims-made form is unacceptable.</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u w:val="single"/>
          <w:lang w:eastAsia="zh-TW"/>
        </w:rPr>
        <w:t>Automobile Liability</w:t>
      </w:r>
    </w:p>
    <w:p w:rsidR="00703F3C" w:rsidRPr="00703F3C" w:rsidRDefault="00703F3C" w:rsidP="00703F3C">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703F3C">
        <w:rPr>
          <w:rFonts w:ascii="Times New Roman" w:eastAsia="PMingLiU" w:hAnsi="Times New Roman" w:cs="Times New Roman"/>
          <w:sz w:val="24"/>
          <w:szCs w:val="24"/>
          <w:lang w:eastAsia="zh-TW"/>
        </w:rPr>
        <w:noBreakHyphen/>
        <w:t>owned automobiles.</w:t>
      </w:r>
    </w:p>
    <w:p w:rsidR="00703F3C" w:rsidRPr="00703F3C" w:rsidRDefault="00703F3C" w:rsidP="00703F3C">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B.</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Deductibles and Self</w:t>
      </w:r>
      <w:r w:rsidRPr="00703F3C">
        <w:rPr>
          <w:rFonts w:ascii="Times New Roman" w:eastAsia="PMingLiU" w:hAnsi="Times New Roman" w:cs="Times New Roman"/>
          <w:sz w:val="24"/>
          <w:szCs w:val="24"/>
          <w:u w:val="single"/>
          <w:lang w:eastAsia="zh-TW"/>
        </w:rPr>
        <w:noBreakHyphen/>
        <w:t>Insured Retentions</w:t>
      </w:r>
    </w:p>
    <w:p w:rsidR="00703F3C" w:rsidRPr="00703F3C" w:rsidRDefault="00703F3C" w:rsidP="00703F3C">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703F3C" w:rsidRPr="00703F3C" w:rsidRDefault="00703F3C" w:rsidP="00703F3C">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C.</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Other Insurance Provisions</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The policies are to contain, or be endorsed to contain, the following provisions:</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Commercial General Liability, Automobile Liability, and Cyber Liability Coverages</w:t>
      </w:r>
    </w:p>
    <w:p w:rsidR="00703F3C" w:rsidRPr="00703F3C" w:rsidRDefault="00703F3C" w:rsidP="00703F3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contextualSpacing/>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37"/>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703F3C" w:rsidRPr="00703F3C" w:rsidRDefault="00703F3C" w:rsidP="00703F3C">
      <w:pPr>
        <w:widowControl/>
        <w:numPr>
          <w:ilvl w:val="0"/>
          <w:numId w:val="37"/>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703F3C" w:rsidRPr="00703F3C" w:rsidRDefault="00703F3C" w:rsidP="00703F3C">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Workers Compensation and Employers Liability Coverage</w:t>
      </w:r>
    </w:p>
    <w:p w:rsidR="00703F3C" w:rsidRPr="00703F3C" w:rsidRDefault="00703F3C" w:rsidP="00703F3C">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38"/>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All Coverages</w:t>
      </w:r>
    </w:p>
    <w:p w:rsidR="00703F3C" w:rsidRPr="00703F3C" w:rsidRDefault="00703F3C" w:rsidP="00703F3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2160"/>
        <w:contextualSpacing/>
        <w:jc w:val="both"/>
        <w:rPr>
          <w:rFonts w:ascii="Times New Roman" w:eastAsia="PMingLiU" w:hAnsi="Times New Roman" w:cs="Times New Roman"/>
          <w:sz w:val="24"/>
          <w:szCs w:val="24"/>
          <w:lang w:eastAsia="zh-TW"/>
        </w:rPr>
      </w:pPr>
    </w:p>
    <w:p w:rsidR="00703F3C" w:rsidRPr="00703F3C" w:rsidRDefault="00703F3C" w:rsidP="00703F3C">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703F3C" w:rsidRPr="00703F3C" w:rsidRDefault="00703F3C" w:rsidP="00703F3C">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703F3C" w:rsidRPr="00703F3C" w:rsidRDefault="00703F3C" w:rsidP="00703F3C">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703F3C" w:rsidRPr="00703F3C" w:rsidRDefault="00703F3C" w:rsidP="00703F3C">
      <w:pPr>
        <w:widowControl/>
        <w:numPr>
          <w:ilvl w:val="1"/>
          <w:numId w:val="38"/>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  </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D.</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Acceptability of Insurers</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703F3C">
        <w:rPr>
          <w:rFonts w:ascii="Times New Roman" w:eastAsia="PMingLiU" w:hAnsi="Times New Roman" w:cs="Times New Roman"/>
          <w:b/>
          <w:sz w:val="24"/>
          <w:szCs w:val="24"/>
          <w:lang w:eastAsia="zh-TW"/>
        </w:rPr>
        <w:t>A-</w:t>
      </w:r>
      <w:proofErr w:type="gramStart"/>
      <w:r w:rsidRPr="00703F3C">
        <w:rPr>
          <w:rFonts w:ascii="Times New Roman" w:eastAsia="PMingLiU" w:hAnsi="Times New Roman" w:cs="Times New Roman"/>
          <w:b/>
          <w:sz w:val="24"/>
          <w:szCs w:val="24"/>
          <w:lang w:eastAsia="zh-TW"/>
        </w:rPr>
        <w:t>:VI</w:t>
      </w:r>
      <w:proofErr w:type="gramEnd"/>
      <w:r w:rsidRPr="00703F3C">
        <w:rPr>
          <w:rFonts w:ascii="Times New Roman" w:eastAsia="PMingLiU" w:hAnsi="Times New Roman" w:cs="Times New Roman"/>
          <w:b/>
          <w:sz w:val="24"/>
          <w:szCs w:val="24"/>
          <w:lang w:eastAsia="zh-TW"/>
        </w:rPr>
        <w:t xml:space="preserve"> or higher</w:t>
      </w:r>
      <w:r w:rsidRPr="00703F3C">
        <w:rPr>
          <w:rFonts w:ascii="Times New Roman" w:eastAsia="PMingLiU" w:hAnsi="Times New Roman" w:cs="Times New Roman"/>
          <w:sz w:val="24"/>
          <w:szCs w:val="24"/>
          <w:lang w:eastAsia="zh-TW"/>
        </w:rPr>
        <w:t xml:space="preserve">.  This rating requirement may be waived for workers’ compensation coverage only. </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thirty (30) days.</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 </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E.</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Verification of Coverage</w:t>
      </w:r>
    </w:p>
    <w:p w:rsidR="00703F3C" w:rsidRPr="00703F3C" w:rsidRDefault="00703F3C"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The Certificate Holder should be listed as follows:</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State of Louisiana</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Office of State Procurement</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1201 N. Third St. Suite 2-160</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Baton Rouge, LA 70802</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703F3C" w:rsidRPr="00703F3C" w:rsidRDefault="00703F3C" w:rsidP="00703F3C">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703F3C" w:rsidRDefault="00703F3C"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3D1F69" w:rsidRPr="00703F3C" w:rsidRDefault="003D1F69" w:rsidP="00703F3C">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703F3C" w:rsidRPr="00703F3C" w:rsidRDefault="00703F3C" w:rsidP="00703F3C">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lastRenderedPageBreak/>
        <w:tab/>
      </w:r>
      <w:r w:rsidRPr="00703F3C">
        <w:rPr>
          <w:rFonts w:ascii="Times New Roman" w:eastAsia="PMingLiU" w:hAnsi="Times New Roman" w:cs="Times New Roman"/>
          <w:sz w:val="24"/>
          <w:szCs w:val="24"/>
          <w:lang w:eastAsia="zh-TW"/>
        </w:rPr>
        <w:tab/>
        <w:t>F.</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Subcontractors</w:t>
      </w:r>
    </w:p>
    <w:p w:rsidR="00703F3C" w:rsidRPr="00703F3C" w:rsidRDefault="00703F3C" w:rsidP="00703F3C">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703F3C" w:rsidRPr="00703F3C" w:rsidRDefault="00703F3C" w:rsidP="00703F3C">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G.</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Workers Compensation Indemnity</w:t>
      </w:r>
    </w:p>
    <w:p w:rsidR="00703F3C" w:rsidRPr="00703F3C" w:rsidRDefault="00703F3C" w:rsidP="00703F3C">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703F3C">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703F3C" w:rsidRPr="00703F3C" w:rsidRDefault="00703F3C" w:rsidP="00703F3C">
      <w:pPr>
        <w:widowControl/>
        <w:tabs>
          <w:tab w:val="left" w:pos="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tabs>
          <w:tab w:val="left" w:pos="360"/>
        </w:tabs>
        <w:spacing w:after="0" w:line="240" w:lineRule="auto"/>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lang w:eastAsia="zh-TW"/>
        </w:rPr>
        <w:tab/>
        <w:t>H.</w:t>
      </w:r>
      <w:r w:rsidRPr="00703F3C">
        <w:rPr>
          <w:rFonts w:ascii="Times New Roman" w:eastAsia="PMingLiU" w:hAnsi="Times New Roman" w:cs="Times New Roman"/>
          <w:sz w:val="24"/>
          <w:szCs w:val="24"/>
          <w:lang w:eastAsia="zh-TW"/>
        </w:rPr>
        <w:tab/>
      </w:r>
      <w:r w:rsidRPr="00703F3C">
        <w:rPr>
          <w:rFonts w:ascii="Times New Roman" w:eastAsia="PMingLiU" w:hAnsi="Times New Roman" w:cs="Times New Roman"/>
          <w:sz w:val="24"/>
          <w:szCs w:val="24"/>
          <w:u w:val="single"/>
          <w:lang w:eastAsia="zh-TW"/>
        </w:rPr>
        <w:t>Indemnification/Hold Harmless Agreement</w:t>
      </w:r>
    </w:p>
    <w:p w:rsidR="00703F3C" w:rsidRPr="00703F3C" w:rsidRDefault="00703F3C" w:rsidP="00703F3C">
      <w:pPr>
        <w:widowControl/>
        <w:tabs>
          <w:tab w:val="left" w:pos="360"/>
        </w:tabs>
        <w:spacing w:after="0" w:line="240" w:lineRule="auto"/>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703F3C" w:rsidRPr="00703F3C" w:rsidRDefault="00703F3C" w:rsidP="00703F3C">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703F3C" w:rsidRPr="00703F3C" w:rsidRDefault="00703F3C" w:rsidP="00703F3C">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703F3C">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03F3C" w:rsidRPr="00703F3C" w:rsidRDefault="00703F3C" w:rsidP="00703F3C">
      <w:pPr>
        <w:widowControl/>
        <w:spacing w:after="0" w:line="240" w:lineRule="auto"/>
        <w:ind w:left="101"/>
        <w:jc w:val="both"/>
        <w:rPr>
          <w:rFonts w:ascii="Times New Roman" w:eastAsia="Times New Roman" w:hAnsi="Times New Roman" w:cs="Times New Roman"/>
          <w:b/>
          <w:sz w:val="24"/>
          <w:szCs w:val="20"/>
        </w:rPr>
      </w:pPr>
    </w:p>
    <w:p w:rsidR="00703F3C" w:rsidRPr="007230B5" w:rsidRDefault="00703F3C" w:rsidP="007230B5">
      <w:pPr>
        <w:pStyle w:val="ListParagraph"/>
        <w:widowControl/>
        <w:numPr>
          <w:ilvl w:val="0"/>
          <w:numId w:val="26"/>
        </w:numPr>
        <w:spacing w:after="0" w:line="240" w:lineRule="auto"/>
        <w:ind w:left="720" w:hanging="720"/>
        <w:jc w:val="both"/>
        <w:rPr>
          <w:rFonts w:ascii="Times New Roman" w:eastAsia="Times New Roman" w:hAnsi="Times New Roman" w:cs="Times New Roman"/>
          <w:b/>
          <w:bCs/>
          <w:szCs w:val="20"/>
        </w:rPr>
      </w:pPr>
      <w:r w:rsidRPr="007230B5">
        <w:rPr>
          <w:rFonts w:ascii="Times New Roman" w:eastAsia="Times New Roman" w:hAnsi="Times New Roman" w:cs="Times New Roman"/>
          <w:b/>
          <w:bCs/>
          <w:sz w:val="24"/>
          <w:szCs w:val="20"/>
        </w:rPr>
        <w:t>Blanket Fidelity Bond Coverage</w:t>
      </w:r>
    </w:p>
    <w:p w:rsidR="00D5611B" w:rsidRDefault="00703F3C" w:rsidP="007230B5">
      <w:pPr>
        <w:widowControl/>
        <w:spacing w:after="240" w:line="240" w:lineRule="auto"/>
        <w:ind w:left="720"/>
        <w:jc w:val="both"/>
        <w:rPr>
          <w:rFonts w:ascii="Times New Roman" w:eastAsia="Times New Roman" w:hAnsi="Times New Roman" w:cs="Times New Roman"/>
          <w:sz w:val="24"/>
          <w:szCs w:val="20"/>
        </w:rPr>
      </w:pPr>
      <w:r w:rsidRPr="00703F3C">
        <w:rPr>
          <w:rFonts w:ascii="Times New Roman" w:eastAsia="Times New Roman" w:hAnsi="Times New Roman" w:cs="Times New Roman"/>
          <w:sz w:val="24"/>
          <w:szCs w:val="20"/>
        </w:rPr>
        <w:t xml:space="preserve">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w:t>
      </w:r>
      <w:r w:rsidRPr="00703F3C">
        <w:rPr>
          <w:rFonts w:ascii="Times New Roman" w:eastAsia="Times New Roman" w:hAnsi="Times New Roman" w:cs="Times New Roman"/>
          <w:sz w:val="24"/>
          <w:szCs w:val="20"/>
        </w:rPr>
        <w:lastRenderedPageBreak/>
        <w:t>theft and endorsed to include the State of Louisiana as a named insured, is acceptable in lieu of the fidelity bond coverage.</w:t>
      </w:r>
    </w:p>
    <w:p w:rsidR="000B217A" w:rsidRPr="000B217A" w:rsidRDefault="000B217A" w:rsidP="000B217A">
      <w:pPr>
        <w:pStyle w:val="ListParagraph"/>
        <w:numPr>
          <w:ilvl w:val="0"/>
          <w:numId w:val="26"/>
        </w:numPr>
        <w:ind w:left="720" w:hanging="720"/>
        <w:rPr>
          <w:rFonts w:ascii="Times New Roman" w:hAnsi="Times New Roman"/>
          <w:b/>
          <w:sz w:val="24"/>
          <w:szCs w:val="24"/>
        </w:rPr>
      </w:pPr>
      <w:r w:rsidRPr="000B217A">
        <w:rPr>
          <w:rFonts w:ascii="Times New Roman" w:hAnsi="Times New Roman"/>
          <w:b/>
          <w:sz w:val="24"/>
          <w:szCs w:val="24"/>
        </w:rPr>
        <w:t>Method of Award:</w:t>
      </w:r>
    </w:p>
    <w:p w:rsidR="000B217A" w:rsidRPr="000B217A" w:rsidRDefault="000B217A" w:rsidP="000B217A">
      <w:pPr>
        <w:pStyle w:val="ListParagraph"/>
        <w:spacing w:after="0"/>
        <w:rPr>
          <w:rFonts w:ascii="Times New Roman" w:hAnsi="Times New Roman"/>
          <w:sz w:val="24"/>
          <w:szCs w:val="24"/>
        </w:rPr>
      </w:pPr>
      <w:r w:rsidRPr="000B217A">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0B217A" w:rsidRPr="000B217A" w:rsidRDefault="000B217A" w:rsidP="000B217A">
      <w:pPr>
        <w:pStyle w:val="ListParagraph"/>
        <w:ind w:left="540"/>
        <w:rPr>
          <w:rFonts w:ascii="Times New Roman" w:hAnsi="Times New Roman"/>
          <w:b/>
          <w:sz w:val="24"/>
          <w:szCs w:val="24"/>
        </w:rPr>
      </w:pPr>
    </w:p>
    <w:p w:rsidR="00720A8E" w:rsidRPr="007230B5" w:rsidRDefault="00CA73D6" w:rsidP="007230B5">
      <w:pPr>
        <w:pStyle w:val="ListParagraph"/>
        <w:numPr>
          <w:ilvl w:val="0"/>
          <w:numId w:val="26"/>
        </w:numPr>
        <w:spacing w:after="0"/>
        <w:rPr>
          <w:rFonts w:ascii="Times New Roman" w:hAnsi="Times New Roman" w:cs="Times New Roman"/>
          <w:b/>
          <w:bCs/>
          <w:sz w:val="24"/>
          <w:szCs w:val="24"/>
        </w:rPr>
      </w:pPr>
      <w:r w:rsidRPr="007230B5">
        <w:rPr>
          <w:rFonts w:ascii="Times New Roman" w:hAnsi="Times New Roman" w:cs="Times New Roman"/>
          <w:bCs/>
          <w:sz w:val="24"/>
          <w:szCs w:val="24"/>
        </w:rPr>
        <w:t xml:space="preserve">  </w:t>
      </w:r>
      <w:r w:rsidR="005676FA" w:rsidRPr="007230B5">
        <w:rPr>
          <w:rFonts w:ascii="Times New Roman" w:eastAsia="Times New Roman" w:hAnsi="Times New Roman" w:cs="Times New Roman"/>
          <w:b/>
          <w:bCs/>
          <w:spacing w:val="1"/>
          <w:sz w:val="24"/>
          <w:szCs w:val="24"/>
        </w:rPr>
        <w:tab/>
        <w:t>Sufficient Information</w:t>
      </w:r>
      <w:r w:rsidRPr="007230B5">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703F3C">
        <w:rPr>
          <w:rFonts w:ascii="Times New Roman" w:hAnsi="Times New Roman" w:cs="Times New Roman"/>
          <w:sz w:val="24"/>
          <w:szCs w:val="24"/>
        </w:rPr>
        <w:t>Trevor Moore</w:t>
      </w:r>
      <w:r w:rsidR="00CA73D6">
        <w:rPr>
          <w:rFonts w:ascii="Times New Roman" w:hAnsi="Times New Roman" w:cs="Times New Roman"/>
          <w:sz w:val="24"/>
          <w:szCs w:val="24"/>
        </w:rPr>
        <w:t>, phone: 225-342-</w:t>
      </w:r>
      <w:r w:rsidR="00703F3C">
        <w:rPr>
          <w:rFonts w:ascii="Times New Roman" w:hAnsi="Times New Roman" w:cs="Times New Roman"/>
          <w:sz w:val="24"/>
          <w:szCs w:val="24"/>
        </w:rPr>
        <w:t>5650</w:t>
      </w:r>
      <w:r w:rsidR="00CA73D6">
        <w:rPr>
          <w:rFonts w:ascii="Times New Roman" w:hAnsi="Times New Roman" w:cs="Times New Roman"/>
          <w:sz w:val="24"/>
          <w:szCs w:val="24"/>
        </w:rPr>
        <w:t>, email</w:t>
      </w:r>
      <w:r w:rsidR="00703F3C">
        <w:rPr>
          <w:rFonts w:ascii="Times New Roman" w:hAnsi="Times New Roman" w:cs="Times New Roman"/>
          <w:sz w:val="24"/>
          <w:szCs w:val="24"/>
        </w:rPr>
        <w:t>: Trevor.moore</w:t>
      </w:r>
      <w:r w:rsidR="00CA73D6" w:rsidRPr="00422D80">
        <w:rPr>
          <w:rFonts w:ascii="Times New Roman" w:hAnsi="Times New Roman" w:cs="Times New Roman"/>
          <w:sz w:val="24"/>
          <w:szCs w:val="24"/>
        </w:rPr>
        <w:t>@la.gov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F7" w:rsidRDefault="00FC1CF7">
      <w:pPr>
        <w:spacing w:after="0" w:line="240" w:lineRule="auto"/>
      </w:pPr>
      <w:r>
        <w:separator/>
      </w:r>
    </w:p>
  </w:endnote>
  <w:endnote w:type="continuationSeparator" w:id="0">
    <w:p w:rsidR="00FC1CF7" w:rsidRDefault="00FC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8377D">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8377D">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F7" w:rsidRDefault="00FC1CF7">
      <w:pPr>
        <w:spacing w:after="0" w:line="240" w:lineRule="auto"/>
      </w:pPr>
      <w:r>
        <w:separator/>
      </w:r>
    </w:p>
  </w:footnote>
  <w:footnote w:type="continuationSeparator" w:id="0">
    <w:p w:rsidR="00FC1CF7" w:rsidRDefault="00FC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C1CF7" w:rsidRPr="00FC1CF7">
      <w:rPr>
        <w:rFonts w:ascii="Times New Roman" w:hAnsi="Times New Roman" w:cs="Times New Roman"/>
        <w:sz w:val="24"/>
        <w:szCs w:val="24"/>
      </w:rPr>
      <w:t xml:space="preserve"> </w:t>
    </w:r>
    <w:r w:rsidR="0038377D">
      <w:rPr>
        <w:rFonts w:ascii="Times New Roman" w:hAnsi="Times New Roman" w:cs="Times New Roman"/>
        <w:sz w:val="24"/>
        <w:szCs w:val="24"/>
      </w:rPr>
      <w:t>3000021999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703F3C">
      <w:rPr>
        <w:rFonts w:ascii="Times New Roman" w:hAnsi="Times New Roman" w:cs="Times New Roman"/>
        <w:sz w:val="24"/>
        <w:szCs w:val="24"/>
      </w:rPr>
      <w:t xml:space="preserve"> </w:t>
    </w:r>
    <w:r w:rsidR="0038377D">
      <w:rPr>
        <w:rFonts w:ascii="Times New Roman" w:hAnsi="Times New Roman" w:cs="Times New Roman"/>
        <w:bCs/>
        <w:sz w:val="24"/>
        <w:szCs w:val="24"/>
      </w:rPr>
      <w:t xml:space="preserve">*Rebid* </w:t>
    </w:r>
    <w:r w:rsidR="00B86DED">
      <w:rPr>
        <w:rFonts w:ascii="Times New Roman" w:hAnsi="Times New Roman" w:cs="Times New Roman"/>
        <w:sz w:val="24"/>
        <w:szCs w:val="24"/>
      </w:rPr>
      <w:t xml:space="preserve">Armed </w:t>
    </w:r>
    <w:r w:rsidR="00703F3C">
      <w:rPr>
        <w:rFonts w:ascii="Times New Roman" w:hAnsi="Times New Roman" w:cs="Times New Roman"/>
        <w:sz w:val="24"/>
        <w:szCs w:val="24"/>
      </w:rPr>
      <w:t>Guard Services- DCFS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C"/>
    <w:rsid w:val="00023A76"/>
    <w:rsid w:val="00031063"/>
    <w:rsid w:val="000337DE"/>
    <w:rsid w:val="00040151"/>
    <w:rsid w:val="000453BD"/>
    <w:rsid w:val="00050988"/>
    <w:rsid w:val="00054308"/>
    <w:rsid w:val="000569EF"/>
    <w:rsid w:val="00062E8C"/>
    <w:rsid w:val="0007126A"/>
    <w:rsid w:val="00075C57"/>
    <w:rsid w:val="0008674F"/>
    <w:rsid w:val="00094BFD"/>
    <w:rsid w:val="000976C7"/>
    <w:rsid w:val="000A5589"/>
    <w:rsid w:val="000A6942"/>
    <w:rsid w:val="000A70F9"/>
    <w:rsid w:val="000B217A"/>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377D"/>
    <w:rsid w:val="00385724"/>
    <w:rsid w:val="003951D2"/>
    <w:rsid w:val="003A0628"/>
    <w:rsid w:val="003A39AE"/>
    <w:rsid w:val="003B5234"/>
    <w:rsid w:val="003C1135"/>
    <w:rsid w:val="003C3EBB"/>
    <w:rsid w:val="003D1F69"/>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FE"/>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399F"/>
    <w:rsid w:val="006C5454"/>
    <w:rsid w:val="006D3A6F"/>
    <w:rsid w:val="006D41D2"/>
    <w:rsid w:val="006E09BB"/>
    <w:rsid w:val="006F35DB"/>
    <w:rsid w:val="006F6A58"/>
    <w:rsid w:val="007005F8"/>
    <w:rsid w:val="00703F3C"/>
    <w:rsid w:val="0072093B"/>
    <w:rsid w:val="00720A8E"/>
    <w:rsid w:val="007230B5"/>
    <w:rsid w:val="0073309B"/>
    <w:rsid w:val="00744179"/>
    <w:rsid w:val="00751C24"/>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D28EB"/>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86DED"/>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0252"/>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C1CF7"/>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9EDADC"/>
  <w15:chartTrackingRefBased/>
  <w15:docId w15:val="{13FD05D5-915B-4387-83B2-0F385AA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383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A52F-8C0D-4356-B067-154BB0AA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2899</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4</cp:revision>
  <cp:lastPrinted>2023-10-17T16:27:00Z</cp:lastPrinted>
  <dcterms:created xsi:type="dcterms:W3CDTF">2023-09-01T16:39:00Z</dcterms:created>
  <dcterms:modified xsi:type="dcterms:W3CDTF">2023-10-17T16:27:00Z</dcterms:modified>
</cp:coreProperties>
</file>