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Louisiana Department of Health</w:t>
      </w:r>
    </w:p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Medicaid Pharmaceutical and Therapeutics Committee</w:t>
      </w:r>
    </w:p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628 North Fourth Street</w:t>
      </w:r>
    </w:p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Baton Rouge, LA</w:t>
      </w:r>
    </w:p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Bienville Building, Room #118</w:t>
      </w:r>
    </w:p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November 5, 2025</w:t>
      </w:r>
    </w:p>
    <w:p w:rsidR="0007718B" w:rsidRPr="0007718B" w:rsidRDefault="0007718B" w:rsidP="0007718B">
      <w:pPr>
        <w:pStyle w:val="Title"/>
        <w:rPr>
          <w:sz w:val="28"/>
          <w:szCs w:val="28"/>
        </w:rPr>
      </w:pPr>
      <w:r w:rsidRPr="0007718B">
        <w:rPr>
          <w:sz w:val="28"/>
          <w:szCs w:val="28"/>
        </w:rPr>
        <w:t>9:00 AM</w:t>
      </w:r>
    </w:p>
    <w:p w:rsidR="0007718B" w:rsidRDefault="0007718B" w:rsidP="0007718B">
      <w:pPr>
        <w:spacing w:after="0" w:line="192" w:lineRule="auto"/>
        <w:rPr>
          <w:sz w:val="24"/>
          <w:szCs w:val="24"/>
        </w:rPr>
      </w:pPr>
    </w:p>
    <w:p w:rsidR="0007718B" w:rsidRPr="00AB6B5C" w:rsidRDefault="0007718B" w:rsidP="0007718B">
      <w:pPr>
        <w:spacing w:line="192" w:lineRule="auto"/>
        <w:rPr>
          <w:sz w:val="24"/>
          <w:szCs w:val="24"/>
        </w:rPr>
      </w:pPr>
    </w:p>
    <w:p w:rsidR="0007718B" w:rsidRPr="00AB6B5C" w:rsidRDefault="0007718B" w:rsidP="0007718B">
      <w:pPr>
        <w:spacing w:line="192" w:lineRule="auto"/>
        <w:rPr>
          <w:sz w:val="24"/>
          <w:szCs w:val="24"/>
        </w:rPr>
      </w:pPr>
    </w:p>
    <w:p w:rsidR="0007718B" w:rsidRPr="0007718B" w:rsidRDefault="0007718B" w:rsidP="0007718B">
      <w:pPr>
        <w:pStyle w:val="Heading2"/>
        <w:numPr>
          <w:ilvl w:val="0"/>
          <w:numId w:val="1"/>
        </w:numPr>
        <w:spacing w:line="192" w:lineRule="auto"/>
        <w:rPr>
          <w:szCs w:val="24"/>
        </w:rPr>
      </w:pPr>
      <w:r w:rsidRPr="0007718B">
        <w:rPr>
          <w:szCs w:val="24"/>
        </w:rPr>
        <w:t>Call to Order</w:t>
      </w:r>
      <w:proofErr w:type="gramStart"/>
      <w:r w:rsidRPr="0007718B">
        <w:rPr>
          <w:szCs w:val="24"/>
        </w:rPr>
        <w:t>……………………………..……………………….…...............</w:t>
      </w:r>
      <w:proofErr w:type="gramEnd"/>
      <w:r w:rsidRPr="0007718B">
        <w:rPr>
          <w:szCs w:val="24"/>
        </w:rPr>
        <w:t xml:space="preserve">Jill </w:t>
      </w:r>
      <w:proofErr w:type="spellStart"/>
      <w:r w:rsidRPr="0007718B">
        <w:rPr>
          <w:szCs w:val="24"/>
        </w:rPr>
        <w:t>Comeau</w:t>
      </w:r>
      <w:proofErr w:type="spellEnd"/>
    </w:p>
    <w:p w:rsidR="0007718B" w:rsidRPr="0007718B" w:rsidRDefault="0007718B" w:rsidP="0007718B">
      <w:pPr>
        <w:rPr>
          <w:rFonts w:ascii="Times New Roman" w:hAnsi="Times New Roman" w:cs="Times New Roman"/>
          <w:sz w:val="24"/>
          <w:szCs w:val="24"/>
        </w:rPr>
      </w:pPr>
    </w:p>
    <w:p w:rsidR="0007718B" w:rsidRPr="0007718B" w:rsidRDefault="0007718B" w:rsidP="0007718B">
      <w:pPr>
        <w:pStyle w:val="Heading2"/>
        <w:numPr>
          <w:ilvl w:val="0"/>
          <w:numId w:val="1"/>
        </w:numPr>
        <w:spacing w:line="192" w:lineRule="auto"/>
        <w:rPr>
          <w:szCs w:val="24"/>
        </w:rPr>
      </w:pPr>
      <w:r w:rsidRPr="0007718B">
        <w:rPr>
          <w:szCs w:val="24"/>
        </w:rPr>
        <w:t xml:space="preserve">Parliamentary Business </w:t>
      </w:r>
      <w:proofErr w:type="gramStart"/>
      <w:r w:rsidRPr="0007718B">
        <w:rPr>
          <w:szCs w:val="24"/>
        </w:rPr>
        <w:t>………………………………………………….…...</w:t>
      </w:r>
      <w:proofErr w:type="gramEnd"/>
      <w:r w:rsidRPr="0007718B">
        <w:rPr>
          <w:szCs w:val="24"/>
        </w:rPr>
        <w:t xml:space="preserve">Jill </w:t>
      </w:r>
      <w:proofErr w:type="spellStart"/>
      <w:r w:rsidRPr="0007718B">
        <w:rPr>
          <w:szCs w:val="24"/>
        </w:rPr>
        <w:t>Comeau</w:t>
      </w:r>
      <w:proofErr w:type="spellEnd"/>
    </w:p>
    <w:p w:rsidR="0007718B" w:rsidRPr="0007718B" w:rsidRDefault="0007718B" w:rsidP="0007718B">
      <w:pPr>
        <w:numPr>
          <w:ilvl w:val="1"/>
          <w:numId w:val="1"/>
        </w:numPr>
        <w:tabs>
          <w:tab w:val="num" w:pos="81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>Introduction of Members/Roll Call</w:t>
      </w:r>
    </w:p>
    <w:p w:rsidR="0007718B" w:rsidRPr="0007718B" w:rsidRDefault="0007718B" w:rsidP="0007718B">
      <w:pPr>
        <w:numPr>
          <w:ilvl w:val="1"/>
          <w:numId w:val="1"/>
        </w:numPr>
        <w:tabs>
          <w:tab w:val="num" w:pos="81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 xml:space="preserve">Attendance </w:t>
      </w:r>
    </w:p>
    <w:p w:rsidR="0007718B" w:rsidRPr="0007718B" w:rsidRDefault="0007718B" w:rsidP="0007718B">
      <w:pPr>
        <w:numPr>
          <w:ilvl w:val="1"/>
          <w:numId w:val="1"/>
        </w:numPr>
        <w:tabs>
          <w:tab w:val="num" w:pos="81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 xml:space="preserve">Approval of Meeting Minutes October 30, 2024 and May 5, 2025 </w:t>
      </w:r>
    </w:p>
    <w:p w:rsidR="0007718B" w:rsidRPr="0007718B" w:rsidRDefault="0007718B" w:rsidP="0007718B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07718B" w:rsidRPr="0007718B" w:rsidRDefault="0007718B" w:rsidP="0007718B">
      <w:pPr>
        <w:numPr>
          <w:ilvl w:val="0"/>
          <w:numId w:val="1"/>
        </w:numPr>
        <w:spacing w:after="0" w:line="192" w:lineRule="auto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vanish/>
          <w:sz w:val="24"/>
          <w:szCs w:val="24"/>
        </w:rPr>
        <w:t>VII.</w:t>
      </w:r>
      <w:r w:rsidRPr="0007718B">
        <w:rPr>
          <w:rFonts w:ascii="Times New Roman" w:hAnsi="Times New Roman" w:cs="Times New Roman"/>
          <w:vanish/>
          <w:sz w:val="24"/>
          <w:szCs w:val="24"/>
        </w:rPr>
        <w:tab/>
        <w:t>rles Castilley Expenditures with all dosage form</w:t>
      </w:r>
      <w:r w:rsidRPr="0007718B">
        <w:rPr>
          <w:rFonts w:ascii="Times New Roman" w:hAnsi="Times New Roman" w:cs="Times New Roman"/>
          <w:vanish/>
          <w:sz w:val="24"/>
          <w:szCs w:val="24"/>
        </w:rPr>
        <w:cr/>
        <w:t>s</w:t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pgNum/>
      </w:r>
      <w:r w:rsidRPr="0007718B">
        <w:rPr>
          <w:rFonts w:ascii="Times New Roman" w:hAnsi="Times New Roman" w:cs="Times New Roman"/>
          <w:vanish/>
          <w:sz w:val="24"/>
          <w:szCs w:val="24"/>
        </w:rPr>
        <w:t>thiE</w:t>
      </w:r>
      <w:r w:rsidRPr="0007718B">
        <w:rPr>
          <w:rFonts w:ascii="Times New Roman" w:hAnsi="Times New Roman" w:cs="Times New Roman"/>
          <w:sz w:val="24"/>
          <w:szCs w:val="24"/>
        </w:rPr>
        <w:t>E</w:t>
      </w:r>
      <w:r w:rsidR="00D20582">
        <w:rPr>
          <w:rFonts w:ascii="Times New Roman" w:hAnsi="Times New Roman" w:cs="Times New Roman"/>
          <w:sz w:val="24"/>
          <w:szCs w:val="24"/>
        </w:rPr>
        <w:t>thics…………………………………………………………………</w:t>
      </w:r>
      <w:bookmarkStart w:id="0" w:name="_GoBack"/>
      <w:bookmarkEnd w:id="0"/>
      <w:r w:rsidRPr="0007718B">
        <w:rPr>
          <w:rFonts w:ascii="Times New Roman" w:hAnsi="Times New Roman" w:cs="Times New Roman"/>
          <w:sz w:val="24"/>
          <w:szCs w:val="24"/>
        </w:rPr>
        <w:t>Kimberly Boudreaux</w:t>
      </w:r>
    </w:p>
    <w:p w:rsidR="0007718B" w:rsidRPr="0007718B" w:rsidRDefault="0007718B" w:rsidP="0007718B">
      <w:pPr>
        <w:rPr>
          <w:rFonts w:ascii="Times New Roman" w:hAnsi="Times New Roman" w:cs="Times New Roman"/>
          <w:sz w:val="24"/>
          <w:szCs w:val="24"/>
        </w:rPr>
      </w:pPr>
    </w:p>
    <w:p w:rsidR="0007718B" w:rsidRPr="0007718B" w:rsidRDefault="0007718B" w:rsidP="0007718B">
      <w:pPr>
        <w:numPr>
          <w:ilvl w:val="0"/>
          <w:numId w:val="1"/>
        </w:numP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>Reports…………………………………………………………..………....Sue Fontenot</w:t>
      </w:r>
    </w:p>
    <w:p w:rsidR="0007718B" w:rsidRPr="0007718B" w:rsidRDefault="0007718B" w:rsidP="0007718B">
      <w:pPr>
        <w:spacing w:line="192" w:lineRule="auto"/>
        <w:ind w:left="3420"/>
        <w:jc w:val="both"/>
        <w:rPr>
          <w:rFonts w:ascii="Times New Roman" w:hAnsi="Times New Roman" w:cs="Times New Roman"/>
          <w:sz w:val="24"/>
          <w:szCs w:val="24"/>
        </w:rPr>
      </w:pPr>
    </w:p>
    <w:p w:rsidR="0007718B" w:rsidRPr="0007718B" w:rsidRDefault="0007718B" w:rsidP="0007718B">
      <w:pPr>
        <w:numPr>
          <w:ilvl w:val="0"/>
          <w:numId w:val="1"/>
        </w:numP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 xml:space="preserve">New Business.....................................................................................................Hind Douiki </w:t>
      </w:r>
    </w:p>
    <w:p w:rsidR="0007718B" w:rsidRPr="0007718B" w:rsidRDefault="0007718B" w:rsidP="0007718B">
      <w:pPr>
        <w:numPr>
          <w:ilvl w:val="1"/>
          <w:numId w:val="1"/>
        </w:numPr>
        <w:tabs>
          <w:tab w:val="left" w:pos="1440"/>
          <w:tab w:val="num" w:pos="1530"/>
        </w:tabs>
        <w:spacing w:after="0" w:line="192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>Explanation of TOP$, Monographs and Cost Sheets</w:t>
      </w:r>
    </w:p>
    <w:p w:rsidR="0007718B" w:rsidRPr="0007718B" w:rsidRDefault="0007718B" w:rsidP="0007718B">
      <w:pPr>
        <w:numPr>
          <w:ilvl w:val="1"/>
          <w:numId w:val="1"/>
        </w:numPr>
        <w:tabs>
          <w:tab w:val="left" w:pos="1440"/>
          <w:tab w:val="num" w:pos="1530"/>
        </w:tabs>
        <w:spacing w:after="0" w:line="192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>Therapeutic Class Reviews /Public Testimony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Alzheimer’s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Anthelmintics</w:t>
      </w:r>
      <w:proofErr w:type="spellEnd"/>
      <w:r w:rsidRPr="0007718B">
        <w:rPr>
          <w:sz w:val="24"/>
          <w:szCs w:val="24"/>
        </w:rPr>
        <w:t xml:space="preserve">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Anti-Allergens, Oral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Anticonvulsants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Antidepressants, Other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Antidepressants, SSRIs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Antihistamines, Minimally Sedating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Antihypertensives</w:t>
      </w:r>
      <w:proofErr w:type="spellEnd"/>
      <w:r w:rsidRPr="0007718B">
        <w:rPr>
          <w:sz w:val="24"/>
          <w:szCs w:val="24"/>
        </w:rPr>
        <w:t xml:space="preserve">, </w:t>
      </w:r>
      <w:proofErr w:type="spellStart"/>
      <w:r w:rsidRPr="0007718B">
        <w:rPr>
          <w:sz w:val="24"/>
          <w:szCs w:val="24"/>
        </w:rPr>
        <w:t>Sympatholytics</w:t>
      </w:r>
      <w:proofErr w:type="spellEnd"/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Antihyperuricemics</w:t>
      </w:r>
      <w:proofErr w:type="spellEnd"/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Antiparkinson’s</w:t>
      </w:r>
      <w:proofErr w:type="spellEnd"/>
      <w:r w:rsidRPr="0007718B">
        <w:rPr>
          <w:sz w:val="24"/>
          <w:szCs w:val="24"/>
        </w:rPr>
        <w:t xml:space="preserve">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Antipsoriatics</w:t>
      </w:r>
      <w:proofErr w:type="spellEnd"/>
      <w:r w:rsidRPr="0007718B">
        <w:rPr>
          <w:sz w:val="24"/>
          <w:szCs w:val="24"/>
        </w:rPr>
        <w:t>, Oral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Antipsoriatics</w:t>
      </w:r>
      <w:proofErr w:type="spellEnd"/>
      <w:r w:rsidRPr="0007718B">
        <w:rPr>
          <w:sz w:val="24"/>
          <w:szCs w:val="24"/>
        </w:rPr>
        <w:t xml:space="preserve">, Topical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Antipsychotics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Antivirals, General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Anxiolytics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Bile Salts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Botulinum Toxins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Bronchodilators, Beta Agonist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Colony Stimulating Factors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lastRenderedPageBreak/>
        <w:t>COPD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Cytokine and CAM Antagonists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Duchenne</w:t>
      </w:r>
      <w:proofErr w:type="spellEnd"/>
      <w:r w:rsidRPr="0007718B">
        <w:rPr>
          <w:sz w:val="24"/>
          <w:szCs w:val="24"/>
        </w:rPr>
        <w:t xml:space="preserve"> Muscular Dystrophy Treatments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Emollients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Enzyme Replacement, </w:t>
      </w:r>
      <w:proofErr w:type="spellStart"/>
      <w:r w:rsidRPr="0007718B">
        <w:rPr>
          <w:sz w:val="24"/>
          <w:szCs w:val="24"/>
        </w:rPr>
        <w:t>Gauchers</w:t>
      </w:r>
      <w:proofErr w:type="spellEnd"/>
      <w:r w:rsidRPr="0007718B">
        <w:rPr>
          <w:sz w:val="24"/>
          <w:szCs w:val="24"/>
        </w:rPr>
        <w:t xml:space="preserve"> Disease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Epinephrine, Self-Administered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Erythropoiesis Stimulating Proteins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Glucocorticoids, Inhaled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Glucocorticoids, Oral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Hemophilia Treatment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Histamine II Receptor Blocker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Idiopathic Pulmonary Fibrosis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Immune Globulins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Immunomodulators</w:t>
      </w:r>
      <w:proofErr w:type="spellEnd"/>
      <w:r w:rsidRPr="0007718B">
        <w:rPr>
          <w:sz w:val="24"/>
          <w:szCs w:val="24"/>
        </w:rPr>
        <w:t>, Asthma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Immunomodulators</w:t>
      </w:r>
      <w:proofErr w:type="spellEnd"/>
      <w:r w:rsidRPr="0007718B">
        <w:rPr>
          <w:sz w:val="24"/>
          <w:szCs w:val="24"/>
        </w:rPr>
        <w:t>, Atopic Dermatitis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Immunomodulators</w:t>
      </w:r>
      <w:proofErr w:type="spellEnd"/>
      <w:r w:rsidRPr="0007718B">
        <w:rPr>
          <w:sz w:val="24"/>
          <w:szCs w:val="24"/>
        </w:rPr>
        <w:t xml:space="preserve">, Lupus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Immunomodulators</w:t>
      </w:r>
      <w:proofErr w:type="spellEnd"/>
      <w:r w:rsidRPr="0007718B">
        <w:rPr>
          <w:sz w:val="24"/>
          <w:szCs w:val="24"/>
        </w:rPr>
        <w:t>, Topical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Intranasal Rhinitis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Iron, Oral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Leukotriene Modifiers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Methotrexate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Movement Disorders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Neuropathic Pain and Select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Non-CF Bronchiectasis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NSAIDS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– Breast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– Hematologic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- Lung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– Other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– Prostate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– Renal Cell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Oncology Oral - Skin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Ophthalmic Antibiotics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Ophthalmic, Antibiotic-Steroid Combinations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Ophthalmics</w:t>
      </w:r>
      <w:proofErr w:type="spellEnd"/>
      <w:r w:rsidRPr="0007718B">
        <w:rPr>
          <w:sz w:val="24"/>
          <w:szCs w:val="24"/>
        </w:rPr>
        <w:t xml:space="preserve"> for Allergic Conjunctivitis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Ophthalmics</w:t>
      </w:r>
      <w:proofErr w:type="spellEnd"/>
      <w:r w:rsidRPr="0007718B">
        <w:rPr>
          <w:sz w:val="24"/>
          <w:szCs w:val="24"/>
        </w:rPr>
        <w:t>, Anti-Inflammatories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Ophthalmics</w:t>
      </w:r>
      <w:proofErr w:type="spellEnd"/>
      <w:r w:rsidRPr="0007718B">
        <w:rPr>
          <w:sz w:val="24"/>
          <w:szCs w:val="24"/>
        </w:rPr>
        <w:t xml:space="preserve">, </w:t>
      </w:r>
      <w:proofErr w:type="spellStart"/>
      <w:r w:rsidRPr="0007718B">
        <w:rPr>
          <w:sz w:val="24"/>
          <w:szCs w:val="24"/>
        </w:rPr>
        <w:t>Cystinosis</w:t>
      </w:r>
      <w:proofErr w:type="spellEnd"/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Ophthalmics</w:t>
      </w:r>
      <w:proofErr w:type="spellEnd"/>
      <w:r w:rsidRPr="0007718B">
        <w:rPr>
          <w:sz w:val="24"/>
          <w:szCs w:val="24"/>
        </w:rPr>
        <w:t xml:space="preserve">, Dry Eye Agents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Ophthalmics</w:t>
      </w:r>
      <w:proofErr w:type="spellEnd"/>
      <w:r w:rsidRPr="0007718B">
        <w:rPr>
          <w:sz w:val="24"/>
          <w:szCs w:val="24"/>
        </w:rPr>
        <w:t>, Glaucoma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Otic</w:t>
      </w:r>
      <w:proofErr w:type="spellEnd"/>
      <w:r w:rsidRPr="0007718B">
        <w:rPr>
          <w:sz w:val="24"/>
          <w:szCs w:val="24"/>
        </w:rPr>
        <w:t xml:space="preserve"> Antibiotics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Otic</w:t>
      </w:r>
      <w:proofErr w:type="spellEnd"/>
      <w:r w:rsidRPr="0007718B">
        <w:rPr>
          <w:sz w:val="24"/>
          <w:szCs w:val="24"/>
        </w:rPr>
        <w:t xml:space="preserve"> Anti-</w:t>
      </w:r>
      <w:proofErr w:type="spellStart"/>
      <w:r w:rsidRPr="0007718B">
        <w:rPr>
          <w:sz w:val="24"/>
          <w:szCs w:val="24"/>
        </w:rPr>
        <w:t>Infectives</w:t>
      </w:r>
      <w:proofErr w:type="spellEnd"/>
      <w:r w:rsidRPr="0007718B">
        <w:rPr>
          <w:sz w:val="24"/>
          <w:szCs w:val="24"/>
        </w:rPr>
        <w:t xml:space="preserve"> &amp; Anesthetics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Progestational</w:t>
      </w:r>
      <w:proofErr w:type="spellEnd"/>
      <w:r w:rsidRPr="0007718B">
        <w:rPr>
          <w:sz w:val="24"/>
          <w:szCs w:val="24"/>
        </w:rPr>
        <w:t xml:space="preserve">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Sedative Hypnotics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Sickle Cell Anemia Treatments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Smoking Cessation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Spinal Muscular Atrophy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lastRenderedPageBreak/>
        <w:t>Steroids, Topical High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Steroids, Topical Low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Steroids, Topical Medium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Steroids, Topical Very High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Stimulants and Related Agents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Thrombopoiesis</w:t>
      </w:r>
      <w:proofErr w:type="spellEnd"/>
      <w:r w:rsidRPr="0007718B">
        <w:rPr>
          <w:sz w:val="24"/>
          <w:szCs w:val="24"/>
        </w:rPr>
        <w:t xml:space="preserve"> Stimulating Proteins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Urea Cycle Disorders, Oral</w:t>
      </w:r>
    </w:p>
    <w:p w:rsidR="0007718B" w:rsidRPr="0007718B" w:rsidRDefault="0007718B" w:rsidP="0007718B">
      <w:pPr>
        <w:tabs>
          <w:tab w:val="left" w:pos="1440"/>
          <w:tab w:val="num" w:pos="1530"/>
        </w:tabs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18B" w:rsidDel="004E53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18B" w:rsidRPr="0007718B" w:rsidRDefault="0007718B" w:rsidP="0007718B">
      <w:pPr>
        <w:numPr>
          <w:ilvl w:val="1"/>
          <w:numId w:val="1"/>
        </w:numPr>
        <w:tabs>
          <w:tab w:val="left" w:pos="1440"/>
          <w:tab w:val="num" w:pos="1530"/>
        </w:tabs>
        <w:spacing w:after="0" w:line="192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7718B">
        <w:rPr>
          <w:rFonts w:ascii="Times New Roman" w:hAnsi="Times New Roman" w:cs="Times New Roman"/>
          <w:sz w:val="24"/>
          <w:szCs w:val="24"/>
        </w:rPr>
        <w:tab/>
        <w:t>Single Drug Reviews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Angiotensin Modulators – </w:t>
      </w:r>
      <w:proofErr w:type="spellStart"/>
      <w:r w:rsidRPr="0007718B">
        <w:rPr>
          <w:sz w:val="24"/>
          <w:szCs w:val="24"/>
        </w:rPr>
        <w:t>Sacubitril</w:t>
      </w:r>
      <w:proofErr w:type="spellEnd"/>
      <w:r w:rsidRPr="0007718B">
        <w:rPr>
          <w:sz w:val="24"/>
          <w:szCs w:val="24"/>
        </w:rPr>
        <w:t>/Valsartan Tablet (Oral)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Antimigraine Agents, </w:t>
      </w:r>
      <w:proofErr w:type="spellStart"/>
      <w:r w:rsidRPr="0007718B">
        <w:rPr>
          <w:sz w:val="24"/>
          <w:szCs w:val="24"/>
        </w:rPr>
        <w:t>Triptans</w:t>
      </w:r>
      <w:proofErr w:type="spellEnd"/>
      <w:r w:rsidRPr="0007718B">
        <w:rPr>
          <w:sz w:val="24"/>
          <w:szCs w:val="24"/>
        </w:rPr>
        <w:t xml:space="preserve"> – </w:t>
      </w:r>
      <w:proofErr w:type="spellStart"/>
      <w:r w:rsidRPr="0007718B">
        <w:rPr>
          <w:sz w:val="24"/>
          <w:szCs w:val="24"/>
        </w:rPr>
        <w:t>Symbravo</w:t>
      </w:r>
      <w:proofErr w:type="spellEnd"/>
      <w:r w:rsidRPr="0007718B">
        <w:rPr>
          <w:sz w:val="24"/>
          <w:szCs w:val="24"/>
        </w:rPr>
        <w:t xml:space="preserve"> Tablet (Oral)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>Beta-Blockers – Lopressor Solution (Oral)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Bone Resorption Suppression and Related Agents – </w:t>
      </w:r>
      <w:proofErr w:type="spellStart"/>
      <w:r w:rsidRPr="0007718B">
        <w:rPr>
          <w:sz w:val="24"/>
          <w:szCs w:val="24"/>
        </w:rPr>
        <w:t>Jubbonti</w:t>
      </w:r>
      <w:proofErr w:type="spellEnd"/>
      <w:r w:rsidRPr="0007718B">
        <w:rPr>
          <w:sz w:val="24"/>
          <w:szCs w:val="24"/>
        </w:rPr>
        <w:t xml:space="preserve"> Syringe (Subcutaneous)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BPH Treatments – </w:t>
      </w:r>
      <w:proofErr w:type="spellStart"/>
      <w:r w:rsidRPr="0007718B">
        <w:rPr>
          <w:sz w:val="24"/>
          <w:szCs w:val="24"/>
        </w:rPr>
        <w:t>Tezruly</w:t>
      </w:r>
      <w:proofErr w:type="spellEnd"/>
      <w:r w:rsidRPr="0007718B">
        <w:rPr>
          <w:sz w:val="24"/>
          <w:szCs w:val="24"/>
        </w:rPr>
        <w:t xml:space="preserve"> Solution (Oral)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Growth Factors – </w:t>
      </w:r>
      <w:proofErr w:type="spellStart"/>
      <w:r w:rsidRPr="0007718B">
        <w:rPr>
          <w:sz w:val="24"/>
          <w:szCs w:val="24"/>
        </w:rPr>
        <w:t>Egrifta</w:t>
      </w:r>
      <w:proofErr w:type="spellEnd"/>
      <w:r w:rsidRPr="0007718B">
        <w:rPr>
          <w:sz w:val="24"/>
          <w:szCs w:val="24"/>
        </w:rPr>
        <w:t xml:space="preserve"> WR Kit (Sub-Q)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HAE Treatments – </w:t>
      </w:r>
      <w:proofErr w:type="spellStart"/>
      <w:r w:rsidRPr="0007718B">
        <w:rPr>
          <w:sz w:val="24"/>
          <w:szCs w:val="24"/>
        </w:rPr>
        <w:t>Dawnzera</w:t>
      </w:r>
      <w:proofErr w:type="spellEnd"/>
      <w:r w:rsidRPr="0007718B">
        <w:rPr>
          <w:sz w:val="24"/>
          <w:szCs w:val="24"/>
        </w:rPr>
        <w:t xml:space="preserve"> </w:t>
      </w:r>
      <w:proofErr w:type="spellStart"/>
      <w:r w:rsidRPr="0007718B">
        <w:rPr>
          <w:sz w:val="24"/>
          <w:szCs w:val="24"/>
        </w:rPr>
        <w:t>Autoinjector</w:t>
      </w:r>
      <w:proofErr w:type="spellEnd"/>
      <w:r w:rsidRPr="0007718B">
        <w:rPr>
          <w:sz w:val="24"/>
          <w:szCs w:val="24"/>
        </w:rPr>
        <w:t xml:space="preserve"> (Sub-Q) and </w:t>
      </w:r>
      <w:proofErr w:type="spellStart"/>
      <w:r w:rsidRPr="0007718B">
        <w:rPr>
          <w:sz w:val="24"/>
          <w:szCs w:val="24"/>
        </w:rPr>
        <w:t>Ekterly</w:t>
      </w:r>
      <w:proofErr w:type="spellEnd"/>
      <w:r w:rsidRPr="0007718B">
        <w:rPr>
          <w:sz w:val="24"/>
          <w:szCs w:val="24"/>
        </w:rPr>
        <w:t xml:space="preserve"> (Oral)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HIV/AIDS – </w:t>
      </w:r>
      <w:proofErr w:type="spellStart"/>
      <w:r w:rsidRPr="0007718B">
        <w:rPr>
          <w:sz w:val="24"/>
          <w:szCs w:val="24"/>
        </w:rPr>
        <w:t>Edurant</w:t>
      </w:r>
      <w:proofErr w:type="spellEnd"/>
      <w:r w:rsidRPr="0007718B">
        <w:rPr>
          <w:sz w:val="24"/>
          <w:szCs w:val="24"/>
        </w:rPr>
        <w:t xml:space="preserve"> </w:t>
      </w:r>
      <w:proofErr w:type="spellStart"/>
      <w:r w:rsidRPr="0007718B">
        <w:rPr>
          <w:sz w:val="24"/>
          <w:szCs w:val="24"/>
        </w:rPr>
        <w:t>Ped</w:t>
      </w:r>
      <w:proofErr w:type="spellEnd"/>
      <w:r w:rsidRPr="0007718B">
        <w:rPr>
          <w:sz w:val="24"/>
          <w:szCs w:val="24"/>
        </w:rPr>
        <w:t xml:space="preserve"> Tab Sup (Oral), </w:t>
      </w:r>
      <w:proofErr w:type="spellStart"/>
      <w:r w:rsidRPr="0007718B">
        <w:rPr>
          <w:sz w:val="24"/>
          <w:szCs w:val="24"/>
        </w:rPr>
        <w:t>Yeztugo</w:t>
      </w:r>
      <w:proofErr w:type="spellEnd"/>
      <w:r w:rsidRPr="0007718B">
        <w:rPr>
          <w:sz w:val="24"/>
          <w:szCs w:val="24"/>
        </w:rPr>
        <w:t xml:space="preserve"> Tablet (Oral), </w:t>
      </w:r>
      <w:proofErr w:type="spellStart"/>
      <w:r w:rsidRPr="0007718B">
        <w:rPr>
          <w:sz w:val="24"/>
          <w:szCs w:val="24"/>
        </w:rPr>
        <w:t>Yeztugo</w:t>
      </w:r>
      <w:proofErr w:type="spellEnd"/>
      <w:r w:rsidRPr="0007718B">
        <w:rPr>
          <w:sz w:val="24"/>
          <w:szCs w:val="24"/>
        </w:rPr>
        <w:t xml:space="preserve"> Vial (Subcutaneous)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07718B">
        <w:rPr>
          <w:sz w:val="24"/>
          <w:szCs w:val="24"/>
        </w:rPr>
        <w:t>Hypoglcemics</w:t>
      </w:r>
      <w:proofErr w:type="spellEnd"/>
      <w:r w:rsidRPr="0007718B">
        <w:rPr>
          <w:sz w:val="24"/>
          <w:szCs w:val="24"/>
        </w:rPr>
        <w:t>, Insulin and Related Agents – Kirsty Pen and Vial (</w:t>
      </w:r>
      <w:proofErr w:type="spellStart"/>
      <w:r w:rsidRPr="0007718B">
        <w:rPr>
          <w:sz w:val="24"/>
          <w:szCs w:val="24"/>
        </w:rPr>
        <w:t>Subcutane</w:t>
      </w:r>
      <w:proofErr w:type="spellEnd"/>
      <w:r w:rsidRPr="0007718B">
        <w:rPr>
          <w:sz w:val="24"/>
          <w:szCs w:val="24"/>
        </w:rPr>
        <w:t xml:space="preserve">.) 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New Antibiotics, Oral Uncomplicated UTI – </w:t>
      </w:r>
      <w:proofErr w:type="spellStart"/>
      <w:r w:rsidRPr="0007718B">
        <w:rPr>
          <w:sz w:val="24"/>
          <w:szCs w:val="24"/>
        </w:rPr>
        <w:t>Orlynvah</w:t>
      </w:r>
      <w:proofErr w:type="spellEnd"/>
      <w:r w:rsidRPr="0007718B">
        <w:rPr>
          <w:sz w:val="24"/>
          <w:szCs w:val="24"/>
        </w:rPr>
        <w:t xml:space="preserve"> Tablet (Oral)</w:t>
      </w:r>
    </w:p>
    <w:p w:rsidR="0007718B" w:rsidRPr="0007718B" w:rsidRDefault="0007718B" w:rsidP="0007718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718B">
        <w:rPr>
          <w:sz w:val="24"/>
          <w:szCs w:val="24"/>
        </w:rPr>
        <w:t xml:space="preserve">Platelet Aggregation Inhibitors – </w:t>
      </w:r>
      <w:proofErr w:type="spellStart"/>
      <w:r w:rsidRPr="0007718B">
        <w:rPr>
          <w:sz w:val="24"/>
          <w:szCs w:val="24"/>
        </w:rPr>
        <w:t>Ticagrelor</w:t>
      </w:r>
      <w:proofErr w:type="spellEnd"/>
      <w:r w:rsidRPr="0007718B">
        <w:rPr>
          <w:sz w:val="24"/>
          <w:szCs w:val="24"/>
        </w:rPr>
        <w:t xml:space="preserve"> (Oral)</w:t>
      </w:r>
    </w:p>
    <w:p w:rsidR="0007718B" w:rsidRPr="0007718B" w:rsidRDefault="0007718B" w:rsidP="0007718B">
      <w:pPr>
        <w:pStyle w:val="ListParagraph"/>
        <w:ind w:left="2070"/>
        <w:rPr>
          <w:sz w:val="24"/>
          <w:szCs w:val="24"/>
        </w:rPr>
      </w:pPr>
    </w:p>
    <w:p w:rsidR="0007718B" w:rsidRPr="0007718B" w:rsidRDefault="0007718B" w:rsidP="0007718B">
      <w:pPr>
        <w:pStyle w:val="ListParagraph"/>
        <w:spacing w:line="192" w:lineRule="auto"/>
        <w:ind w:left="360"/>
        <w:rPr>
          <w:sz w:val="24"/>
          <w:szCs w:val="24"/>
        </w:rPr>
      </w:pPr>
    </w:p>
    <w:p w:rsidR="0007718B" w:rsidRPr="0007718B" w:rsidRDefault="0007718B" w:rsidP="0007718B">
      <w:pPr>
        <w:ind w:left="1710"/>
        <w:rPr>
          <w:rFonts w:ascii="Times New Roman" w:hAnsi="Times New Roman" w:cs="Times New Roman"/>
          <w:sz w:val="24"/>
          <w:szCs w:val="24"/>
        </w:rPr>
      </w:pPr>
    </w:p>
    <w:p w:rsidR="0007718B" w:rsidRPr="0007718B" w:rsidRDefault="0007718B" w:rsidP="0007718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718B">
        <w:rPr>
          <w:sz w:val="24"/>
          <w:szCs w:val="24"/>
        </w:rPr>
        <w:t>Next Steps</w:t>
      </w:r>
    </w:p>
    <w:p w:rsidR="0007718B" w:rsidRPr="0007718B" w:rsidRDefault="0007718B" w:rsidP="0007718B">
      <w:pPr>
        <w:pStyle w:val="ListParagraph"/>
        <w:rPr>
          <w:sz w:val="24"/>
          <w:szCs w:val="24"/>
        </w:rPr>
      </w:pPr>
      <w:r w:rsidRPr="0007718B">
        <w:rPr>
          <w:sz w:val="24"/>
          <w:szCs w:val="24"/>
        </w:rPr>
        <w:t>A.  Proposed Therapeutic Classes to review at the spring meeting</w:t>
      </w:r>
    </w:p>
    <w:p w:rsidR="0007718B" w:rsidRPr="0007718B" w:rsidRDefault="0007718B" w:rsidP="0007718B">
      <w:pPr>
        <w:spacing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18B" w:rsidRPr="0007718B" w:rsidRDefault="0007718B" w:rsidP="0007718B">
      <w:pPr>
        <w:pStyle w:val="ListParagraph"/>
        <w:numPr>
          <w:ilvl w:val="0"/>
          <w:numId w:val="1"/>
        </w:numPr>
        <w:spacing w:line="192" w:lineRule="auto"/>
        <w:jc w:val="both"/>
        <w:rPr>
          <w:sz w:val="24"/>
          <w:szCs w:val="24"/>
        </w:rPr>
      </w:pPr>
      <w:r w:rsidRPr="0007718B">
        <w:rPr>
          <w:sz w:val="24"/>
          <w:szCs w:val="24"/>
        </w:rPr>
        <w:t>Proposed Next Meeting Dates – Wednesday,  May 6, 2026, or Friday, May 8, 2026</w:t>
      </w:r>
    </w:p>
    <w:p w:rsidR="0007718B" w:rsidRPr="0007718B" w:rsidRDefault="0007718B" w:rsidP="0007718B">
      <w:pPr>
        <w:pStyle w:val="ListParagraph"/>
        <w:spacing w:line="192" w:lineRule="auto"/>
        <w:jc w:val="both"/>
        <w:rPr>
          <w:sz w:val="24"/>
          <w:szCs w:val="24"/>
        </w:rPr>
      </w:pPr>
    </w:p>
    <w:p w:rsidR="0007718B" w:rsidRPr="0007718B" w:rsidRDefault="0007718B" w:rsidP="0007718B">
      <w:pPr>
        <w:pStyle w:val="ListParagraph"/>
        <w:numPr>
          <w:ilvl w:val="0"/>
          <w:numId w:val="1"/>
        </w:numPr>
        <w:spacing w:line="192" w:lineRule="auto"/>
        <w:jc w:val="both"/>
        <w:rPr>
          <w:sz w:val="24"/>
          <w:szCs w:val="24"/>
        </w:rPr>
      </w:pPr>
      <w:r w:rsidRPr="0007718B">
        <w:rPr>
          <w:sz w:val="24"/>
          <w:szCs w:val="24"/>
        </w:rPr>
        <w:t>Public Testimony</w:t>
      </w:r>
    </w:p>
    <w:p w:rsidR="00507F0A" w:rsidRPr="0007718B" w:rsidRDefault="00D20582">
      <w:pPr>
        <w:rPr>
          <w:rFonts w:ascii="Times New Roman" w:hAnsi="Times New Roman" w:cs="Times New Roman"/>
          <w:sz w:val="24"/>
          <w:szCs w:val="24"/>
        </w:rPr>
      </w:pPr>
    </w:p>
    <w:sectPr w:rsidR="00507F0A" w:rsidRPr="00077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097C"/>
    <w:multiLevelType w:val="multilevel"/>
    <w:tmpl w:val="F73662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1"/>
      <w:numFmt w:val="upperRoman"/>
      <w:lvlText w:val="%4&gt;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C143582"/>
    <w:multiLevelType w:val="hybridMultilevel"/>
    <w:tmpl w:val="E556B44A"/>
    <w:lvl w:ilvl="0" w:tplc="5C62810A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8B"/>
    <w:rsid w:val="0007718B"/>
    <w:rsid w:val="006375CA"/>
    <w:rsid w:val="00D20582"/>
    <w:rsid w:val="00EB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1A17D"/>
  <w15:chartTrackingRefBased/>
  <w15:docId w15:val="{B1D49EBD-5BA0-44D6-843B-97F6A4F8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7718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18B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07718B"/>
    <w:pPr>
      <w:widowControl w:val="0"/>
      <w:tabs>
        <w:tab w:val="center" w:pos="4680"/>
      </w:tabs>
      <w:spacing w:after="0" w:line="240" w:lineRule="auto"/>
      <w:ind w:right="86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7718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771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0771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523</Words>
  <Characters>2982</Characters>
  <Application>Microsoft Office Word</Application>
  <DocSecurity>0</DocSecurity>
  <Lines>24</Lines>
  <Paragraphs>6</Paragraphs>
  <ScaleCrop>false</ScaleCrop>
  <Company>State of Louisiana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Johnson</dc:creator>
  <cp:keywords/>
  <dc:description/>
  <cp:lastModifiedBy>Katrina Johnson</cp:lastModifiedBy>
  <cp:revision>2</cp:revision>
  <cp:lastPrinted>2025-11-04T15:23:00Z</cp:lastPrinted>
  <dcterms:created xsi:type="dcterms:W3CDTF">2025-10-31T19:50:00Z</dcterms:created>
  <dcterms:modified xsi:type="dcterms:W3CDTF">2025-11-04T20:57:00Z</dcterms:modified>
</cp:coreProperties>
</file>