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E24" w:rsidRPr="00314E24" w:rsidRDefault="00314E24" w:rsidP="00202734">
      <w:pPr>
        <w:jc w:val="center"/>
        <w:outlineLvl w:val="1"/>
        <w:rPr>
          <w:rFonts w:ascii="Times New Roman" w:hAnsi="Times New Roman"/>
          <w:b/>
          <w:bCs/>
          <w:sz w:val="32"/>
          <w:szCs w:val="36"/>
        </w:rPr>
      </w:pPr>
      <w:r w:rsidRPr="00314E24">
        <w:rPr>
          <w:rFonts w:ascii="Times New Roman" w:hAnsi="Times New Roman"/>
          <w:b/>
          <w:bCs/>
          <w:sz w:val="32"/>
          <w:szCs w:val="36"/>
          <w:u w:val="single"/>
        </w:rPr>
        <w:t>ENGINEERING SERVICES WANTED</w:t>
      </w:r>
    </w:p>
    <w:p w:rsidR="00314E24" w:rsidRPr="00314E24" w:rsidRDefault="00314E24" w:rsidP="00202734">
      <w:pPr>
        <w:rPr>
          <w:rFonts w:ascii="Times New Roman" w:hAnsi="Times New Roman"/>
          <w:sz w:val="22"/>
          <w:szCs w:val="24"/>
        </w:rPr>
      </w:pPr>
    </w:p>
    <w:tbl>
      <w:tblPr>
        <w:tblW w:w="0" w:type="auto"/>
        <w:jc w:val="center"/>
        <w:tblCellSpacing w:w="15" w:type="dxa"/>
        <w:tblCellMar>
          <w:top w:w="60" w:type="dxa"/>
          <w:left w:w="60" w:type="dxa"/>
          <w:bottom w:w="60" w:type="dxa"/>
          <w:right w:w="60" w:type="dxa"/>
        </w:tblCellMar>
        <w:tblLook w:val="04A0" w:firstRow="1" w:lastRow="0" w:firstColumn="1" w:lastColumn="0" w:noHBand="0" w:noVBand="1"/>
      </w:tblPr>
      <w:tblGrid>
        <w:gridCol w:w="10980"/>
      </w:tblGrid>
      <w:tr w:rsidR="00314E24" w:rsidRPr="00314E24" w:rsidTr="00314E24">
        <w:trPr>
          <w:tblCellSpacing w:w="15" w:type="dxa"/>
          <w:jc w:val="center"/>
        </w:trPr>
        <w:tc>
          <w:tcPr>
            <w:tcW w:w="0" w:type="auto"/>
            <w:vAlign w:val="center"/>
            <w:hideMark/>
          </w:tcPr>
          <w:p w:rsidR="00314E24" w:rsidRPr="00314E24" w:rsidRDefault="00314E24" w:rsidP="00202734">
            <w:pPr>
              <w:rPr>
                <w:rFonts w:ascii="Times New Roman" w:hAnsi="Times New Roman"/>
                <w:sz w:val="22"/>
                <w:szCs w:val="24"/>
              </w:rPr>
            </w:pPr>
            <w:r w:rsidRPr="00314E24">
              <w:rPr>
                <w:rFonts w:ascii="Times New Roman" w:hAnsi="Times New Roman"/>
                <w:sz w:val="22"/>
                <w:szCs w:val="24"/>
              </w:rPr>
              <w:t xml:space="preserve">Applications for Engineering Services for the following projects will be accepted until </w:t>
            </w:r>
            <w:r w:rsidRPr="00314E24">
              <w:rPr>
                <w:rFonts w:ascii="Times New Roman" w:hAnsi="Times New Roman"/>
                <w:b/>
                <w:bCs/>
                <w:sz w:val="22"/>
                <w:szCs w:val="24"/>
              </w:rPr>
              <w:t xml:space="preserve">2:00 p.m., </w:t>
            </w:r>
            <w:r w:rsidRPr="00314E24">
              <w:rPr>
                <w:rFonts w:ascii="Times New Roman" w:hAnsi="Times New Roman"/>
                <w:b/>
                <w:bCs/>
                <w:sz w:val="22"/>
                <w:szCs w:val="24"/>
                <w:u w:val="single"/>
              </w:rPr>
              <w:t>Tuesday, March 15, 2016</w:t>
            </w:r>
            <w:r w:rsidRPr="00314E24">
              <w:rPr>
                <w:rFonts w:ascii="Times New Roman" w:hAnsi="Times New Roman"/>
                <w:b/>
                <w:bCs/>
                <w:sz w:val="22"/>
                <w:szCs w:val="24"/>
              </w:rPr>
              <w:t xml:space="preserve">. (Your attention is called to the 2:00 p.m. deadline -- exceptions WILL NOT be made). Applications shall be submitted on Standard Form LE-1, (revised April 2000 edition.) These forms are available at the selection board office and on the Facility Planning &amp; Control website at </w:t>
            </w:r>
            <w:hyperlink r:id="rId4" w:tgtFrame="_blank" w:history="1">
              <w:r w:rsidRPr="00D1728E">
                <w:rPr>
                  <w:rFonts w:ascii="Times New Roman" w:hAnsi="Times New Roman"/>
                  <w:b/>
                  <w:bCs/>
                  <w:color w:val="0000FF"/>
                  <w:sz w:val="22"/>
                  <w:szCs w:val="24"/>
                  <w:u w:val="single"/>
                </w:rPr>
                <w:t xml:space="preserve">www.doa.la.gov/Pages/ofpc/Index.aspx </w:t>
              </w:r>
            </w:hyperlink>
            <w:r w:rsidRPr="00314E24">
              <w:rPr>
                <w:rFonts w:ascii="Times New Roman" w:hAnsi="Times New Roman"/>
                <w:b/>
                <w:bCs/>
                <w:sz w:val="22"/>
                <w:szCs w:val="24"/>
              </w:rPr>
              <w:t xml:space="preserve">. The application consists of six (6) pages. Two additional 8-1/2 x 11 inch pages may be included. These shall include any continuations of answers to questions on the application, additional information, etc. </w:t>
            </w:r>
            <w:r w:rsidRPr="00314E24">
              <w:rPr>
                <w:rFonts w:ascii="Times New Roman" w:hAnsi="Times New Roman"/>
                <w:b/>
                <w:bCs/>
                <w:sz w:val="22"/>
                <w:szCs w:val="24"/>
                <w:u w:val="single"/>
              </w:rPr>
              <w:t>Applications in any other format will not be considered.</w:t>
            </w:r>
            <w:r w:rsidRPr="00314E24">
              <w:rPr>
                <w:rFonts w:ascii="Times New Roman" w:hAnsi="Times New Roman"/>
                <w:b/>
                <w:bCs/>
                <w:sz w:val="22"/>
                <w:szCs w:val="24"/>
              </w:rPr>
              <w:t xml:space="preserve"> Applications with more than a total of eight (8) 8-1/2 x 11 inch pages will not be accepted. One fully completed, signed and sealed copy of each application shall be submitted. The copy may be printed and mailed or printed and delivered or scanned in PDF format and e-mailed. Printed submittals shall not be bound or stapled. E-mailed PDF copies, as well as printed copies, shall be received by Facility Planning &amp; Control within the deadline stated above. The date and time the e-mail is received in the Microsoft Outlook Inbox at Facility Planning &amp; Control shall govern compliance with the deadline for e-mailed applications. Timely delivery by whatever means is strictly the responsibility of the applicant. By e-mailing an application the applicant assumes full responsibility for timely electronic delivery. DO NOT submit both printed and e-mail copies. Any application submitted by both means will be discarded.</w:t>
            </w:r>
            <w:r w:rsidRPr="00314E24">
              <w:rPr>
                <w:rFonts w:ascii="Times New Roman" w:hAnsi="Times New Roman"/>
                <w:sz w:val="22"/>
                <w:szCs w:val="24"/>
              </w:rPr>
              <w:t xml:space="preserve"> </w:t>
            </w:r>
            <w:r w:rsidRPr="00314E24">
              <w:rPr>
                <w:rFonts w:ascii="Times New Roman" w:hAnsi="Times New Roman"/>
                <w:sz w:val="22"/>
                <w:szCs w:val="24"/>
              </w:rPr>
              <w:br/>
            </w:r>
            <w:r w:rsidRPr="00314E24">
              <w:rPr>
                <w:rFonts w:ascii="Times New Roman" w:hAnsi="Times New Roman"/>
                <w:sz w:val="22"/>
                <w:szCs w:val="24"/>
              </w:rPr>
              <w:br/>
            </w:r>
            <w:r w:rsidRPr="00314E24">
              <w:rPr>
                <w:rFonts w:ascii="Times New Roman" w:hAnsi="Times New Roman"/>
                <w:b/>
                <w:bCs/>
                <w:sz w:val="22"/>
                <w:szCs w:val="24"/>
              </w:rPr>
              <w:t>1. South Jefferson Street Extension, Northwestern State University, Natchitoches, Louisiana, Project No. 19-631-14-01, Part 01.</w:t>
            </w:r>
            <w:r w:rsidRPr="00314E24">
              <w:rPr>
                <w:rFonts w:ascii="Times New Roman" w:hAnsi="Times New Roman"/>
                <w:sz w:val="22"/>
                <w:szCs w:val="24"/>
              </w:rPr>
              <w:br/>
              <w:t xml:space="preserve">This project consists of the extension of an existing campus roadway on the Northwestern State University campus by approximately 4,700', at a minimum width of 20', to intersect with LA Hwy 1 bypass near the Young's Bayou crossing. The intent is to make a new entrance to the campus via Hwy 1 that is capable of handling all freight services as well as multipurpose venue access, including graduation and athletic events. The proposed route includes construction of a bridge over Young's Bayou, but the Designer is to evaluate routing options and provide recommendation(s). The design must satisfy requirements of Homeland Security, including campus emergency ingress/egress, and is to be compliant with standards and guidelines as adopted by the Louisiana Department of Transportation and Development. The Designer shall research and obtain necessary permitting for new roadway, and associated permitting fees will be borne by the project. The Designer shall prepare and submit all required drawings to Facility Planning and Control in AutoCAD and hard copy. Drawings shall follow the format specified in the "Instructions to Designers for AutoCAD Drawings Submittal". The funds available for construction are approximately </w:t>
            </w:r>
            <w:r w:rsidRPr="00314E24">
              <w:rPr>
                <w:rFonts w:ascii="Times New Roman" w:hAnsi="Times New Roman"/>
                <w:b/>
                <w:bCs/>
                <w:sz w:val="22"/>
                <w:szCs w:val="24"/>
              </w:rPr>
              <w:t>$2,800,000.00</w:t>
            </w:r>
            <w:r w:rsidRPr="00314E24">
              <w:rPr>
                <w:rFonts w:ascii="Times New Roman" w:hAnsi="Times New Roman"/>
                <w:sz w:val="22"/>
                <w:szCs w:val="24"/>
              </w:rPr>
              <w:t xml:space="preserve"> with a fee of approximately </w:t>
            </w:r>
            <w:r w:rsidRPr="00314E24">
              <w:rPr>
                <w:rFonts w:ascii="Times New Roman" w:hAnsi="Times New Roman"/>
                <w:b/>
                <w:bCs/>
                <w:sz w:val="22"/>
                <w:szCs w:val="24"/>
              </w:rPr>
              <w:t>$236,046.00</w:t>
            </w:r>
            <w:r w:rsidRPr="00314E24">
              <w:rPr>
                <w:rFonts w:ascii="Times New Roman" w:hAnsi="Times New Roman"/>
                <w:sz w:val="22"/>
                <w:szCs w:val="24"/>
              </w:rPr>
              <w:t xml:space="preserve">. Contract design time is </w:t>
            </w:r>
            <w:r w:rsidRPr="00314E24">
              <w:rPr>
                <w:rFonts w:ascii="Times New Roman" w:hAnsi="Times New Roman"/>
                <w:b/>
                <w:bCs/>
                <w:sz w:val="22"/>
                <w:szCs w:val="24"/>
              </w:rPr>
              <w:t>320</w:t>
            </w:r>
            <w:r w:rsidRPr="00314E24">
              <w:rPr>
                <w:rFonts w:ascii="Times New Roman" w:hAnsi="Times New Roman"/>
                <w:sz w:val="22"/>
                <w:szCs w:val="24"/>
              </w:rPr>
              <w:t xml:space="preserve"> consecutive calendar days; including </w:t>
            </w:r>
            <w:r w:rsidRPr="00314E24">
              <w:rPr>
                <w:rFonts w:ascii="Times New Roman" w:hAnsi="Times New Roman"/>
                <w:b/>
                <w:bCs/>
                <w:sz w:val="22"/>
                <w:szCs w:val="24"/>
              </w:rPr>
              <w:t>100</w:t>
            </w:r>
            <w:r w:rsidRPr="00314E24">
              <w:rPr>
                <w:rFonts w:ascii="Times New Roman" w:hAnsi="Times New Roman"/>
                <w:sz w:val="22"/>
                <w:szCs w:val="24"/>
              </w:rPr>
              <w:t xml:space="preserve"> days review time. Thereafter, liquidated damages in the amount of </w:t>
            </w:r>
            <w:r w:rsidRPr="00314E24">
              <w:rPr>
                <w:rFonts w:ascii="Times New Roman" w:hAnsi="Times New Roman"/>
                <w:b/>
                <w:bCs/>
                <w:sz w:val="22"/>
                <w:szCs w:val="24"/>
              </w:rPr>
              <w:t>$300.00</w:t>
            </w:r>
            <w:r w:rsidRPr="00314E24">
              <w:rPr>
                <w:rFonts w:ascii="Times New Roman" w:hAnsi="Times New Roman"/>
                <w:sz w:val="22"/>
                <w:szCs w:val="24"/>
              </w:rPr>
              <w:t xml:space="preserve"> per day will be assessed. Further information is available from </w:t>
            </w:r>
            <w:r w:rsidRPr="00314E24">
              <w:rPr>
                <w:rFonts w:ascii="Times New Roman" w:hAnsi="Times New Roman"/>
                <w:b/>
                <w:bCs/>
                <w:sz w:val="22"/>
                <w:szCs w:val="24"/>
              </w:rPr>
              <w:t>Mr. Charles Robinson - Facility Planning and Control, 1525 Fairfield Avenue, Suite #650, Shreveport, Louisiana 71101, (318) 676-7984.</w:t>
            </w:r>
            <w:r w:rsidRPr="00314E24">
              <w:rPr>
                <w:rFonts w:ascii="Times New Roman" w:hAnsi="Times New Roman"/>
                <w:sz w:val="22"/>
                <w:szCs w:val="24"/>
              </w:rPr>
              <w:t xml:space="preserve"> </w:t>
            </w:r>
            <w:r w:rsidRPr="00314E24">
              <w:rPr>
                <w:rFonts w:ascii="Times New Roman" w:hAnsi="Times New Roman"/>
                <w:sz w:val="22"/>
                <w:szCs w:val="24"/>
              </w:rPr>
              <w:br/>
            </w:r>
            <w:r w:rsidRPr="00314E24">
              <w:rPr>
                <w:rFonts w:ascii="Times New Roman" w:hAnsi="Times New Roman"/>
                <w:sz w:val="22"/>
                <w:szCs w:val="24"/>
              </w:rPr>
              <w:br/>
            </w:r>
            <w:r w:rsidRPr="00314E24">
              <w:rPr>
                <w:rFonts w:ascii="Times New Roman" w:hAnsi="Times New Roman"/>
                <w:b/>
                <w:bCs/>
                <w:sz w:val="22"/>
                <w:szCs w:val="24"/>
              </w:rPr>
              <w:t>2. Repair and Upgrade to Sewer System, Villa Feliciana Medical Complex, Jackson, Louisiana, Project No. 09-320-14-01, Part 01.</w:t>
            </w:r>
            <w:r w:rsidRPr="00314E24">
              <w:rPr>
                <w:rFonts w:ascii="Times New Roman" w:hAnsi="Times New Roman"/>
                <w:sz w:val="22"/>
                <w:szCs w:val="24"/>
              </w:rPr>
              <w:br/>
              <w:t xml:space="preserve">This project consists of the replacement of all exterior sanitary sewer lines and the sewage treatment system at Villa Feliciana Medical Hospital in Jackson, LA. The current sewer system is over 40 yrs. old and the cast iron sewer lines have reached the end of their useful life. A new package wastewater treatment plant will be installed to replace the existing oxidation pond, which will then be converted to an environmentally suitable use or closed as part of this project. Currently, the storm water system is tied into the sanitary sewer lines, and these two systems will need to be separated as part of this project. The project includes (but is not limited to): exploratory excavation, replacement of sewer pipe, installation of manholes, removal of obstructions, pavement patching, replacement of lines between buildings, relocation of utility lines, installation of lift stations, separation of storm water and sanitary sewer collection lines, and rerouting of storm water discharge. The Designer shall prepare and submit all required drawings to Facility Planning and Control in AutoCAD and hard copy. Drawings shall follow the format specified in the "Instructions to Designers for AutoCAD Drawings Submittal". The funds available for construction are approximately </w:t>
            </w:r>
            <w:r w:rsidRPr="00314E24">
              <w:rPr>
                <w:rFonts w:ascii="Times New Roman" w:hAnsi="Times New Roman"/>
                <w:b/>
                <w:bCs/>
                <w:sz w:val="22"/>
                <w:szCs w:val="24"/>
              </w:rPr>
              <w:t>$2,500,000.00</w:t>
            </w:r>
            <w:r w:rsidRPr="00314E24">
              <w:rPr>
                <w:rFonts w:ascii="Times New Roman" w:hAnsi="Times New Roman"/>
                <w:sz w:val="22"/>
                <w:szCs w:val="24"/>
              </w:rPr>
              <w:t xml:space="preserve"> with a fee of approximately </w:t>
            </w:r>
            <w:r w:rsidRPr="00314E24">
              <w:rPr>
                <w:rFonts w:ascii="Times New Roman" w:hAnsi="Times New Roman"/>
                <w:b/>
                <w:bCs/>
                <w:sz w:val="22"/>
                <w:szCs w:val="24"/>
              </w:rPr>
              <w:t>$212,550.00</w:t>
            </w:r>
            <w:r w:rsidRPr="00314E24">
              <w:rPr>
                <w:rFonts w:ascii="Times New Roman" w:hAnsi="Times New Roman"/>
                <w:sz w:val="22"/>
                <w:szCs w:val="24"/>
              </w:rPr>
              <w:t xml:space="preserve">. Contract design time is </w:t>
            </w:r>
            <w:r w:rsidRPr="00314E24">
              <w:rPr>
                <w:rFonts w:ascii="Times New Roman" w:hAnsi="Times New Roman"/>
                <w:b/>
                <w:bCs/>
                <w:sz w:val="22"/>
                <w:szCs w:val="24"/>
              </w:rPr>
              <w:t>325</w:t>
            </w:r>
            <w:r w:rsidRPr="00314E24">
              <w:rPr>
                <w:rFonts w:ascii="Times New Roman" w:hAnsi="Times New Roman"/>
                <w:sz w:val="22"/>
                <w:szCs w:val="24"/>
              </w:rPr>
              <w:t xml:space="preserve"> consecutive calendar days; including </w:t>
            </w:r>
            <w:r w:rsidRPr="00314E24">
              <w:rPr>
                <w:rFonts w:ascii="Times New Roman" w:hAnsi="Times New Roman"/>
                <w:b/>
                <w:bCs/>
                <w:sz w:val="22"/>
                <w:szCs w:val="24"/>
              </w:rPr>
              <w:t>100</w:t>
            </w:r>
            <w:r w:rsidRPr="00314E24">
              <w:rPr>
                <w:rFonts w:ascii="Times New Roman" w:hAnsi="Times New Roman"/>
                <w:sz w:val="22"/>
                <w:szCs w:val="24"/>
              </w:rPr>
              <w:t xml:space="preserve"> days review time. Thereafter, liquidated damages in the amount of </w:t>
            </w:r>
            <w:r w:rsidRPr="00314E24">
              <w:rPr>
                <w:rFonts w:ascii="Times New Roman" w:hAnsi="Times New Roman"/>
                <w:b/>
                <w:bCs/>
                <w:sz w:val="22"/>
                <w:szCs w:val="24"/>
              </w:rPr>
              <w:t>$200.00</w:t>
            </w:r>
            <w:r w:rsidRPr="00314E24">
              <w:rPr>
                <w:rFonts w:ascii="Times New Roman" w:hAnsi="Times New Roman"/>
                <w:sz w:val="22"/>
                <w:szCs w:val="24"/>
              </w:rPr>
              <w:t xml:space="preserve"> per day will be assessed. Further information is available from </w:t>
            </w:r>
            <w:r w:rsidRPr="00314E24">
              <w:rPr>
                <w:rFonts w:ascii="Times New Roman" w:hAnsi="Times New Roman"/>
                <w:b/>
                <w:bCs/>
                <w:sz w:val="22"/>
                <w:szCs w:val="24"/>
              </w:rPr>
              <w:t>Ms. Dawn Picard - Facility Planning and Control, Post Office Box 94095, Baton Rouge, Louisiana 70804-9095, (225) 219-1129.</w:t>
            </w:r>
            <w:r w:rsidRPr="00314E24">
              <w:rPr>
                <w:rFonts w:ascii="Times New Roman" w:hAnsi="Times New Roman"/>
                <w:sz w:val="22"/>
                <w:szCs w:val="24"/>
              </w:rPr>
              <w:t xml:space="preserve"> </w:t>
            </w:r>
            <w:r w:rsidRPr="00314E24">
              <w:rPr>
                <w:rFonts w:ascii="Times New Roman" w:hAnsi="Times New Roman"/>
                <w:sz w:val="22"/>
                <w:szCs w:val="24"/>
              </w:rPr>
              <w:br/>
            </w:r>
            <w:r w:rsidRPr="00314E24">
              <w:rPr>
                <w:rFonts w:ascii="Times New Roman" w:hAnsi="Times New Roman"/>
                <w:sz w:val="22"/>
                <w:szCs w:val="24"/>
              </w:rPr>
              <w:br/>
            </w:r>
            <w:r w:rsidRPr="00314E24">
              <w:rPr>
                <w:rFonts w:ascii="Times New Roman" w:hAnsi="Times New Roman"/>
                <w:b/>
                <w:bCs/>
                <w:sz w:val="22"/>
                <w:szCs w:val="24"/>
              </w:rPr>
              <w:t>3. Mechanical System Upgrades, Pete Maravich Assembly Center, Louisiana State University, Baton Rouge,</w:t>
            </w:r>
            <w:r w:rsidR="00202734" w:rsidRPr="00D1728E">
              <w:rPr>
                <w:rFonts w:ascii="Times New Roman" w:hAnsi="Times New Roman"/>
                <w:b/>
                <w:bCs/>
                <w:sz w:val="22"/>
                <w:szCs w:val="24"/>
              </w:rPr>
              <w:t xml:space="preserve"> Louisiana</w:t>
            </w:r>
            <w:r w:rsidRPr="00314E24">
              <w:rPr>
                <w:rFonts w:ascii="Times New Roman" w:hAnsi="Times New Roman"/>
                <w:b/>
                <w:bCs/>
                <w:sz w:val="22"/>
                <w:szCs w:val="24"/>
              </w:rPr>
              <w:t>, Project No. 19-601-06B-01, Part 09.</w:t>
            </w:r>
            <w:r w:rsidRPr="00314E24">
              <w:rPr>
                <w:rFonts w:ascii="Times New Roman" w:hAnsi="Times New Roman"/>
                <w:sz w:val="22"/>
                <w:szCs w:val="24"/>
              </w:rPr>
              <w:br/>
              <w:t xml:space="preserve">This project consists of upgrades to the HVAC system for the Pete Maravich Assembly Center on the LSU Campus. </w:t>
            </w:r>
            <w:r w:rsidRPr="00314E24">
              <w:rPr>
                <w:rFonts w:ascii="Times New Roman" w:hAnsi="Times New Roman"/>
                <w:sz w:val="22"/>
                <w:szCs w:val="24"/>
              </w:rPr>
              <w:lastRenderedPageBreak/>
              <w:t xml:space="preserve">Upgrades will include replacement of outdated air handling units that service the East Grade Mechanical Room, along with minor duct replacement, re-insulation of ducts, new variable frequency drives for the new air handling units and removal of their original starters and/or drives, and replacement of light fixtures in the mechanical space. Abatement of hazardous materials in the areas of work will be included as part of the project. The function of the building will remain as-is, and the project goal is to provide a higher standard of heating and cooling for the building. The Designer shall prepare and submit all required drawings to Facility Planning and Control in AutoCAD and hard copy. Drawings shall follow the format specified in the "Instructions to Designers for AutoCAD Drawings Submittal". The funds available for construction are approximately </w:t>
            </w:r>
            <w:r w:rsidRPr="00314E24">
              <w:rPr>
                <w:rFonts w:ascii="Times New Roman" w:hAnsi="Times New Roman"/>
                <w:b/>
                <w:bCs/>
                <w:sz w:val="22"/>
                <w:szCs w:val="24"/>
              </w:rPr>
              <w:t>$1,250,000.00</w:t>
            </w:r>
            <w:r w:rsidRPr="00314E24">
              <w:rPr>
                <w:rFonts w:ascii="Times New Roman" w:hAnsi="Times New Roman"/>
                <w:sz w:val="22"/>
                <w:szCs w:val="24"/>
              </w:rPr>
              <w:t xml:space="preserve"> with a fee of approximately </w:t>
            </w:r>
            <w:r w:rsidRPr="00314E24">
              <w:rPr>
                <w:rFonts w:ascii="Times New Roman" w:hAnsi="Times New Roman"/>
                <w:b/>
                <w:bCs/>
                <w:sz w:val="22"/>
                <w:szCs w:val="24"/>
              </w:rPr>
              <w:t>$112,111.00</w:t>
            </w:r>
            <w:r w:rsidRPr="00314E24">
              <w:rPr>
                <w:rFonts w:ascii="Times New Roman" w:hAnsi="Times New Roman"/>
                <w:sz w:val="22"/>
                <w:szCs w:val="24"/>
              </w:rPr>
              <w:t xml:space="preserve">. Contract design time is </w:t>
            </w:r>
            <w:r w:rsidRPr="00314E24">
              <w:rPr>
                <w:rFonts w:ascii="Times New Roman" w:hAnsi="Times New Roman"/>
                <w:b/>
                <w:bCs/>
                <w:sz w:val="22"/>
                <w:szCs w:val="24"/>
              </w:rPr>
              <w:t>120</w:t>
            </w:r>
            <w:r w:rsidRPr="00314E24">
              <w:rPr>
                <w:rFonts w:ascii="Times New Roman" w:hAnsi="Times New Roman"/>
                <w:sz w:val="22"/>
                <w:szCs w:val="24"/>
              </w:rPr>
              <w:t xml:space="preserve"> consecutive calendar days; including </w:t>
            </w:r>
            <w:r w:rsidRPr="00314E24">
              <w:rPr>
                <w:rFonts w:ascii="Times New Roman" w:hAnsi="Times New Roman"/>
                <w:b/>
                <w:bCs/>
                <w:sz w:val="22"/>
                <w:szCs w:val="24"/>
              </w:rPr>
              <w:t>50</w:t>
            </w:r>
            <w:r w:rsidRPr="00314E24">
              <w:rPr>
                <w:rFonts w:ascii="Times New Roman" w:hAnsi="Times New Roman"/>
                <w:sz w:val="22"/>
                <w:szCs w:val="24"/>
              </w:rPr>
              <w:t xml:space="preserve"> days review time. Thereafter, liquidated damages in the amount of </w:t>
            </w:r>
            <w:r w:rsidRPr="00314E24">
              <w:rPr>
                <w:rFonts w:ascii="Times New Roman" w:hAnsi="Times New Roman"/>
                <w:b/>
                <w:bCs/>
                <w:sz w:val="22"/>
                <w:szCs w:val="24"/>
              </w:rPr>
              <w:t>$125.00</w:t>
            </w:r>
            <w:r w:rsidRPr="00314E24">
              <w:rPr>
                <w:rFonts w:ascii="Times New Roman" w:hAnsi="Times New Roman"/>
                <w:sz w:val="22"/>
                <w:szCs w:val="24"/>
              </w:rPr>
              <w:t xml:space="preserve"> per day will be assessed. Further information is available from </w:t>
            </w:r>
            <w:r w:rsidRPr="00314E24">
              <w:rPr>
                <w:rFonts w:ascii="Times New Roman" w:hAnsi="Times New Roman"/>
                <w:b/>
                <w:bCs/>
                <w:sz w:val="22"/>
                <w:szCs w:val="24"/>
              </w:rPr>
              <w:t>Ms. Ellen Jenkins - Facility Planning and Control, Post Office Box 94095, Baton Rouge, Louisiana 70804-9095, (225) 342-1021.</w:t>
            </w:r>
            <w:r w:rsidRPr="00314E24">
              <w:rPr>
                <w:rFonts w:ascii="Times New Roman" w:hAnsi="Times New Roman"/>
                <w:sz w:val="22"/>
                <w:szCs w:val="24"/>
              </w:rPr>
              <w:t xml:space="preserve"> </w:t>
            </w:r>
            <w:r w:rsidRPr="00314E24">
              <w:rPr>
                <w:rFonts w:ascii="Times New Roman" w:hAnsi="Times New Roman"/>
                <w:sz w:val="22"/>
                <w:szCs w:val="24"/>
              </w:rPr>
              <w:br/>
            </w:r>
            <w:r w:rsidRPr="00314E24">
              <w:rPr>
                <w:rFonts w:ascii="Times New Roman" w:hAnsi="Times New Roman"/>
                <w:sz w:val="22"/>
                <w:szCs w:val="24"/>
              </w:rPr>
              <w:br/>
            </w:r>
            <w:r w:rsidRPr="00314E24">
              <w:rPr>
                <w:rFonts w:ascii="Times New Roman" w:hAnsi="Times New Roman"/>
                <w:b/>
                <w:bCs/>
                <w:sz w:val="22"/>
                <w:szCs w:val="24"/>
              </w:rPr>
              <w:t>4. Unit 5 Rock Jetty Creation, Rockefeller Wildlife Refuge, Grand Chenier, Louisiana, Project No. 16-513-15-05, Part 01.</w:t>
            </w:r>
            <w:r w:rsidRPr="00314E24">
              <w:rPr>
                <w:rFonts w:ascii="Times New Roman" w:hAnsi="Times New Roman"/>
                <w:sz w:val="22"/>
                <w:szCs w:val="24"/>
              </w:rPr>
              <w:br/>
              <w:t xml:space="preserve">This project consists of the design and construction of a rock jetty at the mouth of the Joseph Harbor Canal on the Rockefeller Wildlife Refuge in Cameron Parish. The jetty is intended to stabilize the existing navigational channel, prevent further erosion, and create and restore marsh by collecting sediment and other material. The preliminarily proposed jetty dimensions include a top berm elevation of 4' NAVD88, with a top berm width of 10' and side slopes of 2:1 (H:V), and an overall length of 800'. The Designer shall prepare and submit all required drawings to Facility Planning and Control in AutoCAD and hard copy. Drawings shall follow the format specified in the "Instructions to Designers for AutoCAD Drawings Submittal". The funds available for construction are approximately </w:t>
            </w:r>
            <w:r w:rsidRPr="00314E24">
              <w:rPr>
                <w:rFonts w:ascii="Times New Roman" w:hAnsi="Times New Roman"/>
                <w:b/>
                <w:bCs/>
                <w:sz w:val="22"/>
                <w:szCs w:val="24"/>
              </w:rPr>
              <w:t>$1,250,000.00</w:t>
            </w:r>
            <w:r w:rsidRPr="00314E24">
              <w:rPr>
                <w:rFonts w:ascii="Times New Roman" w:hAnsi="Times New Roman"/>
                <w:sz w:val="22"/>
                <w:szCs w:val="24"/>
              </w:rPr>
              <w:t xml:space="preserve"> with a fee of approximately </w:t>
            </w:r>
            <w:r w:rsidRPr="00314E24">
              <w:rPr>
                <w:rFonts w:ascii="Times New Roman" w:hAnsi="Times New Roman"/>
                <w:b/>
                <w:bCs/>
                <w:sz w:val="22"/>
                <w:szCs w:val="24"/>
              </w:rPr>
              <w:t>$112,111.00</w:t>
            </w:r>
            <w:r w:rsidRPr="00314E24">
              <w:rPr>
                <w:rFonts w:ascii="Times New Roman" w:hAnsi="Times New Roman"/>
                <w:sz w:val="22"/>
                <w:szCs w:val="24"/>
              </w:rPr>
              <w:t xml:space="preserve">. Contract design time is </w:t>
            </w:r>
            <w:r w:rsidRPr="00314E24">
              <w:rPr>
                <w:rFonts w:ascii="Times New Roman" w:hAnsi="Times New Roman"/>
                <w:b/>
                <w:bCs/>
                <w:sz w:val="22"/>
                <w:szCs w:val="24"/>
              </w:rPr>
              <w:t>300</w:t>
            </w:r>
            <w:r w:rsidRPr="00314E24">
              <w:rPr>
                <w:rFonts w:ascii="Times New Roman" w:hAnsi="Times New Roman"/>
                <w:sz w:val="22"/>
                <w:szCs w:val="24"/>
              </w:rPr>
              <w:t xml:space="preserve"> consecutive calendar days; including </w:t>
            </w:r>
            <w:r w:rsidRPr="00314E24">
              <w:rPr>
                <w:rFonts w:ascii="Times New Roman" w:hAnsi="Times New Roman"/>
                <w:b/>
                <w:bCs/>
                <w:sz w:val="22"/>
                <w:szCs w:val="24"/>
              </w:rPr>
              <w:t>60</w:t>
            </w:r>
            <w:r w:rsidRPr="00314E24">
              <w:rPr>
                <w:rFonts w:ascii="Times New Roman" w:hAnsi="Times New Roman"/>
                <w:sz w:val="22"/>
                <w:szCs w:val="24"/>
              </w:rPr>
              <w:t xml:space="preserve"> days review time. Thereafter, liquidated damages in the amount of </w:t>
            </w:r>
            <w:r w:rsidRPr="00314E24">
              <w:rPr>
                <w:rFonts w:ascii="Times New Roman" w:hAnsi="Times New Roman"/>
                <w:b/>
                <w:bCs/>
                <w:sz w:val="22"/>
                <w:szCs w:val="24"/>
              </w:rPr>
              <w:t>$125.00</w:t>
            </w:r>
            <w:r w:rsidRPr="00314E24">
              <w:rPr>
                <w:rFonts w:ascii="Times New Roman" w:hAnsi="Times New Roman"/>
                <w:sz w:val="22"/>
                <w:szCs w:val="24"/>
              </w:rPr>
              <w:t xml:space="preserve"> per day will be assessed. Further information is available from </w:t>
            </w:r>
            <w:r w:rsidRPr="00314E24">
              <w:rPr>
                <w:rFonts w:ascii="Times New Roman" w:hAnsi="Times New Roman"/>
                <w:b/>
                <w:bCs/>
                <w:sz w:val="22"/>
                <w:szCs w:val="24"/>
              </w:rPr>
              <w:t>Ms. Dawn Picard - Facility Planning and Control, Post Office Box 94095, Baton Rouge, Louisiana 70804-9095, (225) 219-1129.</w:t>
            </w:r>
            <w:r w:rsidRPr="00314E24">
              <w:rPr>
                <w:rFonts w:ascii="Times New Roman" w:hAnsi="Times New Roman"/>
                <w:sz w:val="22"/>
                <w:szCs w:val="24"/>
              </w:rPr>
              <w:t xml:space="preserve"> </w:t>
            </w:r>
            <w:r w:rsidRPr="00314E24">
              <w:rPr>
                <w:rFonts w:ascii="Times New Roman" w:hAnsi="Times New Roman"/>
                <w:sz w:val="22"/>
                <w:szCs w:val="24"/>
              </w:rPr>
              <w:br/>
            </w:r>
            <w:r w:rsidRPr="00314E24">
              <w:rPr>
                <w:rFonts w:ascii="Times New Roman" w:hAnsi="Times New Roman"/>
                <w:sz w:val="22"/>
                <w:szCs w:val="24"/>
              </w:rPr>
              <w:br/>
            </w:r>
            <w:r w:rsidRPr="00314E24">
              <w:rPr>
                <w:rFonts w:ascii="Times New Roman" w:hAnsi="Times New Roman"/>
                <w:b/>
                <w:bCs/>
                <w:sz w:val="22"/>
                <w:szCs w:val="24"/>
              </w:rPr>
              <w:t xml:space="preserve">5. Replace Two Water Control Structures, Pointe Au Chein Wildlife Management Area, </w:t>
            </w:r>
            <w:proofErr w:type="gramStart"/>
            <w:r w:rsidRPr="00314E24">
              <w:rPr>
                <w:rFonts w:ascii="Times New Roman" w:hAnsi="Times New Roman"/>
                <w:b/>
                <w:bCs/>
                <w:sz w:val="22"/>
                <w:szCs w:val="24"/>
              </w:rPr>
              <w:t>Montegut</w:t>
            </w:r>
            <w:proofErr w:type="gramEnd"/>
            <w:r w:rsidRPr="00314E24">
              <w:rPr>
                <w:rFonts w:ascii="Times New Roman" w:hAnsi="Times New Roman"/>
                <w:b/>
                <w:bCs/>
                <w:sz w:val="22"/>
                <w:szCs w:val="24"/>
              </w:rPr>
              <w:t>, Louisiana, Project No. 16-513-15-</w:t>
            </w:r>
            <w:r w:rsidR="0055540E" w:rsidRPr="00FB5473">
              <w:rPr>
                <w:rFonts w:ascii="Times New Roman" w:hAnsi="Times New Roman"/>
                <w:b/>
                <w:bCs/>
                <w:sz w:val="22"/>
                <w:szCs w:val="24"/>
              </w:rPr>
              <w:t>06</w:t>
            </w:r>
            <w:bookmarkStart w:id="0" w:name="_GoBack"/>
            <w:bookmarkEnd w:id="0"/>
            <w:r w:rsidRPr="00314E24">
              <w:rPr>
                <w:rFonts w:ascii="Times New Roman" w:hAnsi="Times New Roman"/>
                <w:b/>
                <w:bCs/>
                <w:sz w:val="22"/>
                <w:szCs w:val="24"/>
              </w:rPr>
              <w:t>, Part 01.</w:t>
            </w:r>
            <w:r w:rsidRPr="00314E24">
              <w:rPr>
                <w:rFonts w:ascii="Times New Roman" w:hAnsi="Times New Roman"/>
                <w:sz w:val="22"/>
                <w:szCs w:val="24"/>
              </w:rPr>
              <w:br/>
              <w:t xml:space="preserve">This project consists of replacement of two existing water control structures at the Pointe au Chein Wildlife Management Area, that are used to control water surface elevation and salinity in the management unit. The structures to be replaced are both variable crested water control structures with flap gates and stop log bays at two separate locations in the Unit; the S-3 Fisheries Structure (N 29° 26' 16.66", W 90° 30' 14.49") consisting of (6) - 36" culverts, and the S-1 Island Road Structure (N 29° 25' 12.13", W 90° 28' 26.27") constructed of (5) 4'-0" bay openings. The replacement structures will be designed and constructed using sound engineering criteria and professional judgment to manage water levels and salinity for wintering and resident birds. Louisiana Department of Wildlife and Fisheries will apply for and secure all permits and permissions required by this project. The Designer may be called upon to provide supporting information for the proposed work, if required, during the application process. The Designer shall prepare and submit all required drawings to Facility Planning and Control in AutoCAD and hard copy. Drawings shall follow the format specified in the "Instructions to Designers for AutoCAD Drawings Submittal". The funds available for construction are approximately </w:t>
            </w:r>
            <w:r w:rsidRPr="00314E24">
              <w:rPr>
                <w:rFonts w:ascii="Times New Roman" w:hAnsi="Times New Roman"/>
                <w:b/>
                <w:bCs/>
                <w:sz w:val="22"/>
                <w:szCs w:val="24"/>
              </w:rPr>
              <w:t>$1,100,000.00</w:t>
            </w:r>
            <w:r w:rsidRPr="00314E24">
              <w:rPr>
                <w:rFonts w:ascii="Times New Roman" w:hAnsi="Times New Roman"/>
                <w:sz w:val="22"/>
                <w:szCs w:val="24"/>
              </w:rPr>
              <w:t xml:space="preserve"> with a fee of approximately </w:t>
            </w:r>
            <w:r w:rsidRPr="00314E24">
              <w:rPr>
                <w:rFonts w:ascii="Times New Roman" w:hAnsi="Times New Roman"/>
                <w:b/>
                <w:bCs/>
                <w:sz w:val="22"/>
                <w:szCs w:val="24"/>
              </w:rPr>
              <w:t>$99,667.00</w:t>
            </w:r>
            <w:r w:rsidRPr="00314E24">
              <w:rPr>
                <w:rFonts w:ascii="Times New Roman" w:hAnsi="Times New Roman"/>
                <w:sz w:val="22"/>
                <w:szCs w:val="24"/>
              </w:rPr>
              <w:t xml:space="preserve">. Contract design time is </w:t>
            </w:r>
            <w:r w:rsidRPr="00314E24">
              <w:rPr>
                <w:rFonts w:ascii="Times New Roman" w:hAnsi="Times New Roman"/>
                <w:b/>
                <w:bCs/>
                <w:sz w:val="22"/>
                <w:szCs w:val="24"/>
              </w:rPr>
              <w:t>300</w:t>
            </w:r>
            <w:r w:rsidRPr="00314E24">
              <w:rPr>
                <w:rFonts w:ascii="Times New Roman" w:hAnsi="Times New Roman"/>
                <w:sz w:val="22"/>
                <w:szCs w:val="24"/>
              </w:rPr>
              <w:t xml:space="preserve"> consecutive calendar days; including </w:t>
            </w:r>
            <w:r w:rsidRPr="00314E24">
              <w:rPr>
                <w:rFonts w:ascii="Times New Roman" w:hAnsi="Times New Roman"/>
                <w:b/>
                <w:bCs/>
                <w:sz w:val="22"/>
                <w:szCs w:val="24"/>
              </w:rPr>
              <w:t>60</w:t>
            </w:r>
            <w:r w:rsidRPr="00314E24">
              <w:rPr>
                <w:rFonts w:ascii="Times New Roman" w:hAnsi="Times New Roman"/>
                <w:sz w:val="22"/>
                <w:szCs w:val="24"/>
              </w:rPr>
              <w:t xml:space="preserve"> days review time. Thereafter, liquidated damages in the amount of </w:t>
            </w:r>
            <w:r w:rsidRPr="00314E24">
              <w:rPr>
                <w:rFonts w:ascii="Times New Roman" w:hAnsi="Times New Roman"/>
                <w:b/>
                <w:bCs/>
                <w:sz w:val="22"/>
                <w:szCs w:val="24"/>
              </w:rPr>
              <w:t>$125.00</w:t>
            </w:r>
            <w:r w:rsidRPr="00314E24">
              <w:rPr>
                <w:rFonts w:ascii="Times New Roman" w:hAnsi="Times New Roman"/>
                <w:sz w:val="22"/>
                <w:szCs w:val="24"/>
              </w:rPr>
              <w:t xml:space="preserve"> per day will be assessed. Further information is available from </w:t>
            </w:r>
            <w:r w:rsidRPr="00314E24">
              <w:rPr>
                <w:rFonts w:ascii="Times New Roman" w:hAnsi="Times New Roman"/>
                <w:b/>
                <w:bCs/>
                <w:sz w:val="22"/>
                <w:szCs w:val="24"/>
              </w:rPr>
              <w:t>Ms. Dawn Picard - Facility Planning and Control, Post Office Box 94095, Baton Rouge, Louisiana 70804-9095, (225) 219-1129.</w:t>
            </w:r>
            <w:r w:rsidRPr="00314E24">
              <w:rPr>
                <w:rFonts w:ascii="Times New Roman" w:hAnsi="Times New Roman"/>
                <w:sz w:val="22"/>
                <w:szCs w:val="24"/>
              </w:rPr>
              <w:t xml:space="preserve"> </w:t>
            </w:r>
            <w:r w:rsidRPr="00314E24">
              <w:rPr>
                <w:rFonts w:ascii="Times New Roman" w:hAnsi="Times New Roman"/>
                <w:sz w:val="22"/>
                <w:szCs w:val="24"/>
              </w:rPr>
              <w:br/>
            </w:r>
            <w:r w:rsidRPr="00314E24">
              <w:rPr>
                <w:rFonts w:ascii="Times New Roman" w:hAnsi="Times New Roman"/>
                <w:sz w:val="22"/>
                <w:szCs w:val="24"/>
              </w:rPr>
              <w:br/>
            </w:r>
            <w:r w:rsidRPr="00314E24">
              <w:rPr>
                <w:rFonts w:ascii="Times New Roman" w:hAnsi="Times New Roman"/>
                <w:b/>
                <w:bCs/>
                <w:sz w:val="22"/>
                <w:szCs w:val="24"/>
              </w:rPr>
              <w:t>GENERAL REQUIREMENTS APPLICABLE TO ALL PROJECTS:</w:t>
            </w:r>
            <w:r w:rsidRPr="00314E24">
              <w:rPr>
                <w:rFonts w:ascii="Times New Roman" w:hAnsi="Times New Roman"/>
                <w:sz w:val="22"/>
                <w:szCs w:val="24"/>
              </w:rPr>
              <w:br/>
              <w:t xml:space="preserve">Applicants are advised that design time ends when the Documents are "complete, coordinated and </w:t>
            </w:r>
            <w:r w:rsidRPr="00314E24">
              <w:rPr>
                <w:rFonts w:ascii="Times New Roman" w:hAnsi="Times New Roman"/>
                <w:b/>
                <w:bCs/>
                <w:sz w:val="22"/>
                <w:szCs w:val="24"/>
              </w:rPr>
              <w:t>ready for bid</w:t>
            </w:r>
            <w:r w:rsidRPr="00314E24">
              <w:rPr>
                <w:rFonts w:ascii="Times New Roman" w:hAnsi="Times New Roman"/>
                <w:sz w:val="22"/>
                <w:szCs w:val="24"/>
              </w:rPr>
              <w:t xml:space="preserve">" as stated in to Article 3.3.1, 4) of the Capital Improvements Projects Procedure Manual for Design and Construction. Documents will be considered to be "complete, coordinated and ready for bid" only if the advertisement for bid can be issued with no further corrections to the Documents. Design time will not necessarily end at the receipt of the initial Construction Documents Phase submittal by Facility Planning and Control. Any re-submittals required to complete the documents will be included in the design time. </w:t>
            </w:r>
            <w:r w:rsidRPr="00314E24">
              <w:rPr>
                <w:rFonts w:ascii="Times New Roman" w:hAnsi="Times New Roman"/>
                <w:sz w:val="22"/>
                <w:szCs w:val="24"/>
              </w:rPr>
              <w:br/>
            </w:r>
            <w:r w:rsidRPr="00314E24">
              <w:rPr>
                <w:rFonts w:ascii="Times New Roman" w:hAnsi="Times New Roman"/>
                <w:sz w:val="22"/>
                <w:szCs w:val="24"/>
              </w:rPr>
              <w:br/>
              <w:t>In addition to the statutory requirements, professional liability insurance covering the work involved will be required in an amount specified in the following schedule. This will be required at the time the designer's contract is signed. Proof of coverage will be required at that time.</w:t>
            </w:r>
            <w:r w:rsidRPr="00314E24">
              <w:rPr>
                <w:rFonts w:ascii="Times New Roman" w:hAnsi="Times New Roman"/>
                <w:sz w:val="22"/>
                <w:szCs w:val="24"/>
              </w:rPr>
              <w:br/>
            </w:r>
            <w:r w:rsidRPr="00D1728E">
              <w:rPr>
                <w:rFonts w:ascii="Times New Roman" w:hAnsi="Times New Roman"/>
                <w:b/>
                <w:bCs/>
                <w:sz w:val="22"/>
                <w:szCs w:val="24"/>
              </w:rPr>
              <w:t>SCHEDULE</w:t>
            </w:r>
            <w:r w:rsidRPr="00314E24">
              <w:rPr>
                <w:rFonts w:ascii="Times New Roman" w:hAnsi="Times New Roman"/>
                <w:b/>
                <w:bCs/>
                <w:sz w:val="22"/>
                <w:szCs w:val="24"/>
              </w:rPr>
              <w:br/>
            </w:r>
            <w:r w:rsidRPr="00D1728E">
              <w:rPr>
                <w:rFonts w:ascii="Times New Roman" w:hAnsi="Times New Roman"/>
                <w:b/>
                <w:bCs/>
                <w:sz w:val="22"/>
                <w:szCs w:val="24"/>
              </w:rPr>
              <w:t>LIMITS OF PROFESSIONAL LIABILITY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7"/>
              <w:gridCol w:w="642"/>
              <w:gridCol w:w="1627"/>
            </w:tblGrid>
            <w:tr w:rsidR="00314E24" w:rsidRPr="00314E24">
              <w:trPr>
                <w:tblCellSpacing w:w="15" w:type="dxa"/>
              </w:trPr>
              <w:tc>
                <w:tcPr>
                  <w:tcW w:w="0" w:type="auto"/>
                  <w:vAlign w:val="center"/>
                  <w:hideMark/>
                </w:tcPr>
                <w:p w:rsidR="00314E24" w:rsidRPr="00314E24" w:rsidRDefault="00314E24" w:rsidP="00202734">
                  <w:pPr>
                    <w:rPr>
                      <w:rFonts w:ascii="Times New Roman" w:hAnsi="Times New Roman"/>
                      <w:sz w:val="22"/>
                      <w:szCs w:val="24"/>
                    </w:rPr>
                  </w:pPr>
                  <w:r w:rsidRPr="00314E24">
                    <w:rPr>
                      <w:rFonts w:ascii="Times New Roman" w:hAnsi="Times New Roman"/>
                      <w:sz w:val="22"/>
                      <w:szCs w:val="24"/>
                      <w:u w:val="single"/>
                    </w:rPr>
                    <w:lastRenderedPageBreak/>
                    <w:t>Construction Cost</w:t>
                  </w:r>
                </w:p>
              </w:tc>
              <w:tc>
                <w:tcPr>
                  <w:tcW w:w="650" w:type="pct"/>
                  <w:vAlign w:val="center"/>
                  <w:hideMark/>
                </w:tcPr>
                <w:p w:rsidR="00314E24" w:rsidRPr="00314E24" w:rsidRDefault="00314E24" w:rsidP="00202734">
                  <w:pPr>
                    <w:rPr>
                      <w:rFonts w:ascii="Times New Roman" w:hAnsi="Times New Roman"/>
                      <w:sz w:val="22"/>
                      <w:szCs w:val="24"/>
                    </w:rPr>
                  </w:pPr>
                </w:p>
              </w:tc>
              <w:tc>
                <w:tcPr>
                  <w:tcW w:w="0" w:type="auto"/>
                  <w:vAlign w:val="center"/>
                  <w:hideMark/>
                </w:tcPr>
                <w:p w:rsidR="00314E24" w:rsidRPr="00314E24" w:rsidRDefault="00314E24" w:rsidP="00202734">
                  <w:pPr>
                    <w:rPr>
                      <w:rFonts w:ascii="Times New Roman" w:hAnsi="Times New Roman"/>
                      <w:sz w:val="22"/>
                      <w:szCs w:val="24"/>
                    </w:rPr>
                  </w:pPr>
                  <w:r w:rsidRPr="00314E24">
                    <w:rPr>
                      <w:rFonts w:ascii="Times New Roman" w:hAnsi="Times New Roman"/>
                      <w:sz w:val="22"/>
                      <w:szCs w:val="24"/>
                      <w:u w:val="single"/>
                    </w:rPr>
                    <w:t>Limit of Liability</w:t>
                  </w:r>
                </w:p>
              </w:tc>
            </w:tr>
            <w:tr w:rsidR="00314E24" w:rsidRPr="00314E24">
              <w:trPr>
                <w:tblCellSpacing w:w="15" w:type="dxa"/>
              </w:trPr>
              <w:tc>
                <w:tcPr>
                  <w:tcW w:w="0" w:type="auto"/>
                  <w:vAlign w:val="center"/>
                  <w:hideMark/>
                </w:tcPr>
                <w:p w:rsidR="00314E24" w:rsidRPr="00314E24" w:rsidRDefault="00314E24" w:rsidP="00202734">
                  <w:pPr>
                    <w:rPr>
                      <w:rFonts w:ascii="Times New Roman" w:hAnsi="Times New Roman"/>
                      <w:sz w:val="22"/>
                      <w:szCs w:val="24"/>
                    </w:rPr>
                  </w:pPr>
                  <w:r w:rsidRPr="00314E24">
                    <w:rPr>
                      <w:rFonts w:ascii="Times New Roman" w:hAnsi="Times New Roman"/>
                      <w:sz w:val="22"/>
                      <w:szCs w:val="24"/>
                    </w:rPr>
                    <w:t>$0 to $1,000,000</w:t>
                  </w:r>
                </w:p>
              </w:tc>
              <w:tc>
                <w:tcPr>
                  <w:tcW w:w="0" w:type="auto"/>
                  <w:vAlign w:val="center"/>
                  <w:hideMark/>
                </w:tcPr>
                <w:p w:rsidR="00314E24" w:rsidRPr="00314E24" w:rsidRDefault="00314E24" w:rsidP="00202734">
                  <w:pPr>
                    <w:rPr>
                      <w:rFonts w:ascii="Times New Roman" w:hAnsi="Times New Roman"/>
                      <w:sz w:val="22"/>
                      <w:szCs w:val="24"/>
                    </w:rPr>
                  </w:pPr>
                </w:p>
              </w:tc>
              <w:tc>
                <w:tcPr>
                  <w:tcW w:w="0" w:type="auto"/>
                  <w:vAlign w:val="center"/>
                  <w:hideMark/>
                </w:tcPr>
                <w:p w:rsidR="00314E24" w:rsidRPr="00314E24" w:rsidRDefault="00314E24" w:rsidP="00202734">
                  <w:pPr>
                    <w:rPr>
                      <w:rFonts w:ascii="Times New Roman" w:hAnsi="Times New Roman"/>
                      <w:sz w:val="22"/>
                      <w:szCs w:val="24"/>
                    </w:rPr>
                  </w:pPr>
                  <w:r w:rsidRPr="00314E24">
                    <w:rPr>
                      <w:rFonts w:ascii="Times New Roman" w:hAnsi="Times New Roman"/>
                      <w:sz w:val="22"/>
                      <w:szCs w:val="24"/>
                    </w:rPr>
                    <w:t>$500,000</w:t>
                  </w:r>
                </w:p>
              </w:tc>
            </w:tr>
            <w:tr w:rsidR="00314E24" w:rsidRPr="00314E24">
              <w:trPr>
                <w:tblCellSpacing w:w="15" w:type="dxa"/>
              </w:trPr>
              <w:tc>
                <w:tcPr>
                  <w:tcW w:w="0" w:type="auto"/>
                  <w:vAlign w:val="center"/>
                  <w:hideMark/>
                </w:tcPr>
                <w:p w:rsidR="00314E24" w:rsidRPr="00314E24" w:rsidRDefault="00314E24" w:rsidP="00202734">
                  <w:pPr>
                    <w:rPr>
                      <w:rFonts w:ascii="Times New Roman" w:hAnsi="Times New Roman"/>
                      <w:sz w:val="22"/>
                      <w:szCs w:val="24"/>
                    </w:rPr>
                  </w:pPr>
                  <w:r w:rsidRPr="00314E24">
                    <w:rPr>
                      <w:rFonts w:ascii="Times New Roman" w:hAnsi="Times New Roman"/>
                      <w:sz w:val="22"/>
                      <w:szCs w:val="24"/>
                    </w:rPr>
                    <w:t>$1,000,000 to $10,000,000</w:t>
                  </w:r>
                </w:p>
              </w:tc>
              <w:tc>
                <w:tcPr>
                  <w:tcW w:w="0" w:type="auto"/>
                  <w:vAlign w:val="center"/>
                  <w:hideMark/>
                </w:tcPr>
                <w:p w:rsidR="00314E24" w:rsidRPr="00314E24" w:rsidRDefault="00314E24" w:rsidP="00202734">
                  <w:pPr>
                    <w:rPr>
                      <w:rFonts w:ascii="Times New Roman" w:hAnsi="Times New Roman"/>
                      <w:sz w:val="22"/>
                      <w:szCs w:val="24"/>
                    </w:rPr>
                  </w:pPr>
                </w:p>
              </w:tc>
              <w:tc>
                <w:tcPr>
                  <w:tcW w:w="0" w:type="auto"/>
                  <w:vAlign w:val="center"/>
                  <w:hideMark/>
                </w:tcPr>
                <w:p w:rsidR="00314E24" w:rsidRPr="00314E24" w:rsidRDefault="00314E24" w:rsidP="00202734">
                  <w:pPr>
                    <w:rPr>
                      <w:rFonts w:ascii="Times New Roman" w:hAnsi="Times New Roman"/>
                      <w:sz w:val="22"/>
                      <w:szCs w:val="24"/>
                    </w:rPr>
                  </w:pPr>
                  <w:r w:rsidRPr="00314E24">
                    <w:rPr>
                      <w:rFonts w:ascii="Times New Roman" w:hAnsi="Times New Roman"/>
                      <w:sz w:val="22"/>
                      <w:szCs w:val="24"/>
                    </w:rPr>
                    <w:t>$1,000,000</w:t>
                  </w:r>
                </w:p>
              </w:tc>
            </w:tr>
            <w:tr w:rsidR="00314E24" w:rsidRPr="00314E24">
              <w:trPr>
                <w:tblCellSpacing w:w="15" w:type="dxa"/>
              </w:trPr>
              <w:tc>
                <w:tcPr>
                  <w:tcW w:w="0" w:type="auto"/>
                  <w:vAlign w:val="center"/>
                  <w:hideMark/>
                </w:tcPr>
                <w:p w:rsidR="00314E24" w:rsidRPr="00314E24" w:rsidRDefault="00314E24" w:rsidP="00202734">
                  <w:pPr>
                    <w:rPr>
                      <w:rFonts w:ascii="Times New Roman" w:hAnsi="Times New Roman"/>
                      <w:sz w:val="22"/>
                      <w:szCs w:val="24"/>
                    </w:rPr>
                  </w:pPr>
                  <w:r w:rsidRPr="00314E24">
                    <w:rPr>
                      <w:rFonts w:ascii="Times New Roman" w:hAnsi="Times New Roman"/>
                      <w:sz w:val="22"/>
                      <w:szCs w:val="24"/>
                    </w:rPr>
                    <w:t>$10,000,000 to $20,000,000</w:t>
                  </w:r>
                </w:p>
              </w:tc>
              <w:tc>
                <w:tcPr>
                  <w:tcW w:w="0" w:type="auto"/>
                  <w:vAlign w:val="center"/>
                  <w:hideMark/>
                </w:tcPr>
                <w:p w:rsidR="00314E24" w:rsidRPr="00314E24" w:rsidRDefault="00314E24" w:rsidP="00202734">
                  <w:pPr>
                    <w:rPr>
                      <w:rFonts w:ascii="Times New Roman" w:hAnsi="Times New Roman"/>
                      <w:sz w:val="22"/>
                      <w:szCs w:val="24"/>
                    </w:rPr>
                  </w:pPr>
                </w:p>
              </w:tc>
              <w:tc>
                <w:tcPr>
                  <w:tcW w:w="0" w:type="auto"/>
                  <w:vAlign w:val="center"/>
                  <w:hideMark/>
                </w:tcPr>
                <w:p w:rsidR="00314E24" w:rsidRPr="00314E24" w:rsidRDefault="00314E24" w:rsidP="00202734">
                  <w:pPr>
                    <w:rPr>
                      <w:rFonts w:ascii="Times New Roman" w:hAnsi="Times New Roman"/>
                      <w:sz w:val="22"/>
                      <w:szCs w:val="24"/>
                    </w:rPr>
                  </w:pPr>
                  <w:r w:rsidRPr="00314E24">
                    <w:rPr>
                      <w:rFonts w:ascii="Times New Roman" w:hAnsi="Times New Roman"/>
                      <w:sz w:val="22"/>
                      <w:szCs w:val="24"/>
                    </w:rPr>
                    <w:t>$1,500,000</w:t>
                  </w:r>
                </w:p>
              </w:tc>
            </w:tr>
            <w:tr w:rsidR="00314E24" w:rsidRPr="00314E24">
              <w:trPr>
                <w:tblCellSpacing w:w="15" w:type="dxa"/>
              </w:trPr>
              <w:tc>
                <w:tcPr>
                  <w:tcW w:w="0" w:type="auto"/>
                  <w:vAlign w:val="center"/>
                  <w:hideMark/>
                </w:tcPr>
                <w:p w:rsidR="00314E24" w:rsidRPr="00314E24" w:rsidRDefault="00314E24" w:rsidP="00202734">
                  <w:pPr>
                    <w:rPr>
                      <w:rFonts w:ascii="Times New Roman" w:hAnsi="Times New Roman"/>
                      <w:sz w:val="22"/>
                      <w:szCs w:val="24"/>
                    </w:rPr>
                  </w:pPr>
                  <w:r w:rsidRPr="00314E24">
                    <w:rPr>
                      <w:rFonts w:ascii="Times New Roman" w:hAnsi="Times New Roman"/>
                      <w:sz w:val="22"/>
                      <w:szCs w:val="24"/>
                    </w:rPr>
                    <w:t>$20,000,000 to $50,000,000</w:t>
                  </w:r>
                </w:p>
              </w:tc>
              <w:tc>
                <w:tcPr>
                  <w:tcW w:w="0" w:type="auto"/>
                  <w:vAlign w:val="center"/>
                  <w:hideMark/>
                </w:tcPr>
                <w:p w:rsidR="00314E24" w:rsidRPr="00314E24" w:rsidRDefault="00314E24" w:rsidP="00202734">
                  <w:pPr>
                    <w:rPr>
                      <w:rFonts w:ascii="Times New Roman" w:hAnsi="Times New Roman"/>
                      <w:sz w:val="22"/>
                      <w:szCs w:val="24"/>
                    </w:rPr>
                  </w:pPr>
                </w:p>
              </w:tc>
              <w:tc>
                <w:tcPr>
                  <w:tcW w:w="0" w:type="auto"/>
                  <w:vAlign w:val="center"/>
                  <w:hideMark/>
                </w:tcPr>
                <w:p w:rsidR="00314E24" w:rsidRPr="00314E24" w:rsidRDefault="00314E24" w:rsidP="00202734">
                  <w:pPr>
                    <w:rPr>
                      <w:rFonts w:ascii="Times New Roman" w:hAnsi="Times New Roman"/>
                      <w:sz w:val="22"/>
                      <w:szCs w:val="24"/>
                    </w:rPr>
                  </w:pPr>
                  <w:r w:rsidRPr="00314E24">
                    <w:rPr>
                      <w:rFonts w:ascii="Times New Roman" w:hAnsi="Times New Roman"/>
                      <w:sz w:val="22"/>
                      <w:szCs w:val="24"/>
                    </w:rPr>
                    <w:t>$3,000,000</w:t>
                  </w:r>
                </w:p>
              </w:tc>
            </w:tr>
            <w:tr w:rsidR="00314E24" w:rsidRPr="00314E24">
              <w:trPr>
                <w:tblCellSpacing w:w="15" w:type="dxa"/>
              </w:trPr>
              <w:tc>
                <w:tcPr>
                  <w:tcW w:w="0" w:type="auto"/>
                  <w:vAlign w:val="center"/>
                  <w:hideMark/>
                </w:tcPr>
                <w:p w:rsidR="00314E24" w:rsidRPr="00314E24" w:rsidRDefault="00314E24" w:rsidP="00202734">
                  <w:pPr>
                    <w:rPr>
                      <w:rFonts w:ascii="Times New Roman" w:hAnsi="Times New Roman"/>
                      <w:sz w:val="22"/>
                      <w:szCs w:val="24"/>
                    </w:rPr>
                  </w:pPr>
                  <w:r w:rsidRPr="00314E24">
                    <w:rPr>
                      <w:rFonts w:ascii="Times New Roman" w:hAnsi="Times New Roman"/>
                      <w:sz w:val="22"/>
                      <w:szCs w:val="24"/>
                    </w:rPr>
                    <w:t>Over $50,000,000</w:t>
                  </w:r>
                </w:p>
              </w:tc>
              <w:tc>
                <w:tcPr>
                  <w:tcW w:w="0" w:type="auto"/>
                  <w:vAlign w:val="center"/>
                  <w:hideMark/>
                </w:tcPr>
                <w:p w:rsidR="00314E24" w:rsidRPr="00314E24" w:rsidRDefault="00314E24" w:rsidP="00202734">
                  <w:pPr>
                    <w:rPr>
                      <w:rFonts w:ascii="Times New Roman" w:hAnsi="Times New Roman"/>
                      <w:sz w:val="22"/>
                      <w:szCs w:val="24"/>
                    </w:rPr>
                  </w:pPr>
                </w:p>
              </w:tc>
              <w:tc>
                <w:tcPr>
                  <w:tcW w:w="0" w:type="auto"/>
                  <w:vAlign w:val="center"/>
                  <w:hideMark/>
                </w:tcPr>
                <w:p w:rsidR="00314E24" w:rsidRPr="00314E24" w:rsidRDefault="00314E24" w:rsidP="00202734">
                  <w:pPr>
                    <w:rPr>
                      <w:rFonts w:ascii="Times New Roman" w:hAnsi="Times New Roman"/>
                      <w:sz w:val="22"/>
                      <w:szCs w:val="24"/>
                    </w:rPr>
                  </w:pPr>
                  <w:r w:rsidRPr="00314E24">
                    <w:rPr>
                      <w:rFonts w:ascii="Times New Roman" w:hAnsi="Times New Roman"/>
                      <w:sz w:val="22"/>
                      <w:szCs w:val="24"/>
                    </w:rPr>
                    <w:t>To be determined</w:t>
                  </w:r>
                </w:p>
              </w:tc>
            </w:tr>
          </w:tbl>
          <w:p w:rsidR="00314E24" w:rsidRPr="00314E24" w:rsidRDefault="00314E24" w:rsidP="00202734">
            <w:pPr>
              <w:rPr>
                <w:rFonts w:ascii="Times New Roman" w:hAnsi="Times New Roman"/>
                <w:sz w:val="22"/>
                <w:szCs w:val="24"/>
              </w:rPr>
            </w:pPr>
            <w:r w:rsidRPr="00314E24">
              <w:rPr>
                <w:rFonts w:ascii="Times New Roman" w:hAnsi="Times New Roman"/>
                <w:sz w:val="22"/>
                <w:szCs w:val="24"/>
              </w:rPr>
              <w:br/>
              <w:t xml:space="preserve">Applicant firms should be familiar with the above stated requirements prior to application. The firm(s) selected for the project(s) will be required to sign the state's standard Contract Between Owner and Designer. When these projects are financed either partially or entirely with Bonds, the award of the contract is contingent upon the sale of bonds or the issuance of a line of credit by the State Bond Commission. The State shall incur no obligation to the engineer until the Contract Between Owner and Designer is fully executed. </w:t>
            </w:r>
            <w:r w:rsidRPr="00314E24">
              <w:rPr>
                <w:rFonts w:ascii="Times New Roman" w:hAnsi="Times New Roman"/>
                <w:sz w:val="22"/>
                <w:szCs w:val="24"/>
              </w:rPr>
              <w:br/>
            </w:r>
            <w:r w:rsidRPr="00314E24">
              <w:rPr>
                <w:rFonts w:ascii="Times New Roman" w:hAnsi="Times New Roman"/>
                <w:sz w:val="22"/>
                <w:szCs w:val="24"/>
              </w:rPr>
              <w:br/>
              <w:t xml:space="preserve">Firms will be expected to have all the expertise necessary to provide all engineering services required by the Louisiana Capital Improvement Projects Procedure Manual for Design and Construction for the projects for which they are applying. Unless indicated otherwise in the project description, there will be no additional fee for consultants. </w:t>
            </w:r>
            <w:r w:rsidRPr="00314E24">
              <w:rPr>
                <w:rFonts w:ascii="Times New Roman" w:hAnsi="Times New Roman"/>
                <w:sz w:val="22"/>
                <w:szCs w:val="24"/>
              </w:rPr>
              <w:br/>
            </w:r>
            <w:r w:rsidRPr="00314E24">
              <w:rPr>
                <w:rFonts w:ascii="Times New Roman" w:hAnsi="Times New Roman"/>
                <w:sz w:val="22"/>
                <w:szCs w:val="24"/>
              </w:rPr>
              <w:br/>
              <w:t xml:space="preserve">Facility Planning and Control is a participant in the Small Entrepreneurship Program (the Hudson Initiative) and applicants are encouraged to consider participation. Information is available from the Office of Facility Planning and Control or on its website at </w:t>
            </w:r>
            <w:hyperlink r:id="rId5" w:tgtFrame="_blank" w:history="1">
              <w:r w:rsidRPr="00D1728E">
                <w:rPr>
                  <w:rFonts w:ascii="Times New Roman" w:hAnsi="Times New Roman"/>
                  <w:color w:val="0000FF"/>
                  <w:sz w:val="22"/>
                  <w:szCs w:val="24"/>
                  <w:u w:val="single"/>
                </w:rPr>
                <w:t>www.doa.la.gov/Pages/ofpc/Index.aspx</w:t>
              </w:r>
            </w:hyperlink>
            <w:r w:rsidRPr="00314E24">
              <w:rPr>
                <w:rFonts w:ascii="Times New Roman" w:hAnsi="Times New Roman"/>
                <w:sz w:val="22"/>
                <w:szCs w:val="24"/>
              </w:rPr>
              <w:t xml:space="preserve">. </w:t>
            </w:r>
            <w:r w:rsidRPr="00314E24">
              <w:rPr>
                <w:rFonts w:ascii="Times New Roman" w:hAnsi="Times New Roman"/>
                <w:sz w:val="22"/>
                <w:szCs w:val="24"/>
              </w:rPr>
              <w:br/>
            </w:r>
            <w:r w:rsidRPr="00314E24">
              <w:rPr>
                <w:rFonts w:ascii="Times New Roman" w:hAnsi="Times New Roman"/>
                <w:sz w:val="22"/>
                <w:szCs w:val="24"/>
              </w:rPr>
              <w:br/>
              <w:t xml:space="preserve">ANY PERSON REQUIRING SPECIAL ACCOMMODATIONS SHALL NOTIFY FACILITY PLANNING AND CONTROL OF THE TYPE(S) OF ACCOMMODATION REQUIRED NOT LESS THAT SEVEN (7) DAYS BEFORE THE SELECTION BOARD MEETING. </w:t>
            </w:r>
            <w:r w:rsidRPr="00314E24">
              <w:rPr>
                <w:rFonts w:ascii="Times New Roman" w:hAnsi="Times New Roman"/>
                <w:sz w:val="22"/>
                <w:szCs w:val="24"/>
              </w:rPr>
              <w:br/>
            </w:r>
            <w:r w:rsidRPr="00314E24">
              <w:rPr>
                <w:rFonts w:ascii="Times New Roman" w:hAnsi="Times New Roman"/>
                <w:sz w:val="22"/>
                <w:szCs w:val="24"/>
              </w:rPr>
              <w:br/>
              <w:t xml:space="preserve">Applications shall be delivered or mailed to : </w:t>
            </w:r>
            <w:r w:rsidRPr="00314E24">
              <w:rPr>
                <w:rFonts w:ascii="Times New Roman" w:hAnsi="Times New Roman"/>
                <w:sz w:val="22"/>
                <w:szCs w:val="24"/>
              </w:rPr>
              <w:br/>
            </w:r>
            <w:r w:rsidRPr="00314E24">
              <w:rPr>
                <w:rFonts w:ascii="Times New Roman" w:hAnsi="Times New Roman"/>
                <w:sz w:val="22"/>
                <w:szCs w:val="24"/>
              </w:rPr>
              <w:br/>
              <w:t xml:space="preserve">Applications shall be delivered or mailed or emailed to : </w:t>
            </w:r>
            <w:r w:rsidRPr="00314E24">
              <w:rPr>
                <w:rFonts w:ascii="Times New Roman" w:hAnsi="Times New Roman"/>
                <w:sz w:val="22"/>
                <w:szCs w:val="24"/>
              </w:rPr>
              <w:br/>
            </w:r>
            <w:r w:rsidRPr="00D1728E">
              <w:rPr>
                <w:rFonts w:ascii="Times New Roman" w:hAnsi="Times New Roman"/>
                <w:b/>
                <w:bCs/>
                <w:sz w:val="22"/>
                <w:szCs w:val="24"/>
              </w:rPr>
              <w:t xml:space="preserve">LOUISIANA ENGINEERING SELECTION BOARD </w:t>
            </w:r>
            <w:r w:rsidRPr="00314E24">
              <w:rPr>
                <w:rFonts w:ascii="Times New Roman" w:hAnsi="Times New Roman"/>
                <w:b/>
                <w:bCs/>
                <w:sz w:val="22"/>
                <w:szCs w:val="24"/>
              </w:rPr>
              <w:br/>
            </w:r>
            <w:r w:rsidRPr="00D1728E">
              <w:rPr>
                <w:rFonts w:ascii="Times New Roman" w:hAnsi="Times New Roman"/>
                <w:b/>
                <w:bCs/>
                <w:sz w:val="22"/>
                <w:szCs w:val="24"/>
              </w:rPr>
              <w:t>c/o FACILITY PLANNING AND CONTROL</w:t>
            </w:r>
            <w:r w:rsidRPr="00314E24">
              <w:rPr>
                <w:rFonts w:ascii="Times New Roman" w:hAnsi="Times New Roman"/>
                <w:sz w:val="22"/>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34"/>
              <w:gridCol w:w="2916"/>
            </w:tblGrid>
            <w:tr w:rsidR="00314E24" w:rsidRPr="00314E24">
              <w:trPr>
                <w:tblCellSpacing w:w="15" w:type="dxa"/>
              </w:trPr>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9"/>
                  </w:tblGrid>
                  <w:tr w:rsidR="00314E24" w:rsidRPr="00314E24">
                    <w:trPr>
                      <w:tblCellSpacing w:w="15" w:type="dxa"/>
                    </w:trPr>
                    <w:tc>
                      <w:tcPr>
                        <w:tcW w:w="0" w:type="auto"/>
                        <w:vAlign w:val="center"/>
                        <w:hideMark/>
                      </w:tcPr>
                      <w:p w:rsidR="00314E24" w:rsidRPr="00314E24" w:rsidRDefault="00314E24" w:rsidP="00202734">
                        <w:pPr>
                          <w:rPr>
                            <w:rFonts w:ascii="Times New Roman" w:hAnsi="Times New Roman"/>
                            <w:sz w:val="22"/>
                            <w:szCs w:val="24"/>
                          </w:rPr>
                        </w:pPr>
                        <w:r w:rsidRPr="00D1728E">
                          <w:rPr>
                            <w:rFonts w:ascii="Times New Roman" w:hAnsi="Times New Roman"/>
                            <w:b/>
                            <w:bCs/>
                            <w:sz w:val="22"/>
                            <w:szCs w:val="24"/>
                          </w:rPr>
                          <w:t>Deliver:</w:t>
                        </w:r>
                        <w:r w:rsidRPr="00314E24">
                          <w:rPr>
                            <w:rFonts w:ascii="Times New Roman" w:hAnsi="Times New Roman"/>
                            <w:b/>
                            <w:bCs/>
                            <w:sz w:val="22"/>
                            <w:szCs w:val="24"/>
                          </w:rPr>
                          <w:br/>
                        </w:r>
                        <w:r w:rsidRPr="00D1728E">
                          <w:rPr>
                            <w:rFonts w:ascii="Times New Roman" w:hAnsi="Times New Roman"/>
                            <w:b/>
                            <w:bCs/>
                            <w:sz w:val="22"/>
                            <w:szCs w:val="24"/>
                          </w:rPr>
                          <w:t>1201 North Third Street</w:t>
                        </w:r>
                        <w:r w:rsidRPr="00314E24">
                          <w:rPr>
                            <w:rFonts w:ascii="Times New Roman" w:hAnsi="Times New Roman"/>
                            <w:b/>
                            <w:bCs/>
                            <w:sz w:val="22"/>
                            <w:szCs w:val="24"/>
                          </w:rPr>
                          <w:br/>
                        </w:r>
                        <w:r w:rsidRPr="00D1728E">
                          <w:rPr>
                            <w:rFonts w:ascii="Times New Roman" w:hAnsi="Times New Roman"/>
                            <w:b/>
                            <w:bCs/>
                            <w:sz w:val="22"/>
                            <w:szCs w:val="24"/>
                          </w:rPr>
                          <w:t>Claiborne Office Building</w:t>
                        </w:r>
                        <w:r w:rsidRPr="00314E24">
                          <w:rPr>
                            <w:rFonts w:ascii="Times New Roman" w:hAnsi="Times New Roman"/>
                            <w:b/>
                            <w:bCs/>
                            <w:sz w:val="22"/>
                            <w:szCs w:val="24"/>
                          </w:rPr>
                          <w:br/>
                        </w:r>
                        <w:r w:rsidRPr="00D1728E">
                          <w:rPr>
                            <w:rFonts w:ascii="Times New Roman" w:hAnsi="Times New Roman"/>
                            <w:b/>
                            <w:bCs/>
                            <w:sz w:val="22"/>
                            <w:szCs w:val="24"/>
                          </w:rPr>
                          <w:t>Seventh Floor, Suite 7-160</w:t>
                        </w:r>
                        <w:r w:rsidRPr="00314E24">
                          <w:rPr>
                            <w:rFonts w:ascii="Times New Roman" w:hAnsi="Times New Roman"/>
                            <w:b/>
                            <w:bCs/>
                            <w:sz w:val="22"/>
                            <w:szCs w:val="24"/>
                          </w:rPr>
                          <w:br/>
                        </w:r>
                        <w:r w:rsidRPr="00D1728E">
                          <w:rPr>
                            <w:rFonts w:ascii="Times New Roman" w:hAnsi="Times New Roman"/>
                            <w:b/>
                            <w:bCs/>
                            <w:sz w:val="22"/>
                            <w:szCs w:val="24"/>
                          </w:rPr>
                          <w:t>Baton Rouge, LA 70802</w:t>
                        </w:r>
                      </w:p>
                    </w:tc>
                  </w:tr>
                </w:tbl>
                <w:p w:rsidR="00314E24" w:rsidRPr="00314E24" w:rsidRDefault="00314E24" w:rsidP="00202734">
                  <w:pPr>
                    <w:rPr>
                      <w:rFonts w:ascii="Times New Roman" w:hAnsi="Times New Roman"/>
                      <w:sz w:val="22"/>
                      <w:szCs w:val="24"/>
                    </w:rPr>
                  </w:pPr>
                </w:p>
              </w:tc>
              <w:tc>
                <w:tcPr>
                  <w:tcW w:w="0" w:type="auto"/>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41"/>
                  </w:tblGrid>
                  <w:tr w:rsidR="00314E24" w:rsidRPr="00314E24">
                    <w:trPr>
                      <w:tblCellSpacing w:w="15" w:type="dxa"/>
                    </w:trPr>
                    <w:tc>
                      <w:tcPr>
                        <w:tcW w:w="0" w:type="auto"/>
                        <w:vAlign w:val="center"/>
                        <w:hideMark/>
                      </w:tcPr>
                      <w:p w:rsidR="00314E24" w:rsidRPr="00314E24" w:rsidRDefault="00314E24" w:rsidP="00202734">
                        <w:pPr>
                          <w:rPr>
                            <w:rFonts w:ascii="Times New Roman" w:hAnsi="Times New Roman"/>
                            <w:sz w:val="22"/>
                            <w:szCs w:val="24"/>
                          </w:rPr>
                        </w:pPr>
                        <w:r w:rsidRPr="00D1728E">
                          <w:rPr>
                            <w:rFonts w:ascii="Times New Roman" w:hAnsi="Times New Roman"/>
                            <w:b/>
                            <w:bCs/>
                            <w:sz w:val="22"/>
                            <w:szCs w:val="24"/>
                          </w:rPr>
                          <w:t>Mail:</w:t>
                        </w:r>
                        <w:r w:rsidRPr="00314E24">
                          <w:rPr>
                            <w:rFonts w:ascii="Times New Roman" w:hAnsi="Times New Roman"/>
                            <w:b/>
                            <w:bCs/>
                            <w:sz w:val="22"/>
                            <w:szCs w:val="24"/>
                          </w:rPr>
                          <w:br/>
                        </w:r>
                        <w:r w:rsidRPr="00D1728E">
                          <w:rPr>
                            <w:rFonts w:ascii="Times New Roman" w:hAnsi="Times New Roman"/>
                            <w:b/>
                            <w:bCs/>
                            <w:sz w:val="22"/>
                            <w:szCs w:val="24"/>
                          </w:rPr>
                          <w:t>Post Office Box 94095</w:t>
                        </w:r>
                        <w:r w:rsidRPr="00314E24">
                          <w:rPr>
                            <w:rFonts w:ascii="Times New Roman" w:hAnsi="Times New Roman"/>
                            <w:b/>
                            <w:bCs/>
                            <w:sz w:val="22"/>
                            <w:szCs w:val="24"/>
                          </w:rPr>
                          <w:br/>
                        </w:r>
                        <w:r w:rsidRPr="00D1728E">
                          <w:rPr>
                            <w:rFonts w:ascii="Times New Roman" w:hAnsi="Times New Roman"/>
                            <w:b/>
                            <w:bCs/>
                            <w:sz w:val="22"/>
                            <w:szCs w:val="24"/>
                          </w:rPr>
                          <w:t>Baton Rouge, LA 70804-9095</w:t>
                        </w:r>
                      </w:p>
                    </w:tc>
                  </w:tr>
                  <w:tr w:rsidR="00314E24" w:rsidRPr="00314E24">
                    <w:trPr>
                      <w:tblCellSpacing w:w="15" w:type="dxa"/>
                    </w:trPr>
                    <w:tc>
                      <w:tcPr>
                        <w:tcW w:w="0" w:type="auto"/>
                        <w:vAlign w:val="center"/>
                        <w:hideMark/>
                      </w:tcPr>
                      <w:p w:rsidR="00314E24" w:rsidRPr="00314E24" w:rsidRDefault="00314E24" w:rsidP="00202734">
                        <w:pPr>
                          <w:rPr>
                            <w:rFonts w:ascii="Times New Roman" w:hAnsi="Times New Roman"/>
                            <w:sz w:val="22"/>
                            <w:szCs w:val="24"/>
                          </w:rPr>
                        </w:pPr>
                        <w:r w:rsidRPr="00D1728E">
                          <w:rPr>
                            <w:rFonts w:ascii="Times New Roman" w:hAnsi="Times New Roman"/>
                            <w:b/>
                            <w:bCs/>
                            <w:sz w:val="22"/>
                            <w:szCs w:val="24"/>
                          </w:rPr>
                          <w:t>E-Mail:</w:t>
                        </w:r>
                        <w:r w:rsidRPr="00314E24">
                          <w:rPr>
                            <w:rFonts w:ascii="Times New Roman" w:hAnsi="Times New Roman"/>
                            <w:b/>
                            <w:bCs/>
                            <w:sz w:val="22"/>
                            <w:szCs w:val="24"/>
                          </w:rPr>
                          <w:br/>
                        </w:r>
                        <w:r w:rsidRPr="00D1728E">
                          <w:rPr>
                            <w:rFonts w:ascii="Times New Roman" w:hAnsi="Times New Roman"/>
                            <w:b/>
                            <w:bCs/>
                            <w:sz w:val="22"/>
                            <w:szCs w:val="24"/>
                          </w:rPr>
                          <w:t>selection.board@la.gov</w:t>
                        </w:r>
                      </w:p>
                    </w:tc>
                  </w:tr>
                </w:tbl>
                <w:p w:rsidR="00314E24" w:rsidRPr="00314E24" w:rsidRDefault="00314E24" w:rsidP="00202734">
                  <w:pPr>
                    <w:rPr>
                      <w:rFonts w:ascii="Times New Roman" w:hAnsi="Times New Roman"/>
                      <w:sz w:val="22"/>
                      <w:szCs w:val="24"/>
                    </w:rPr>
                  </w:pPr>
                </w:p>
              </w:tc>
            </w:tr>
          </w:tbl>
          <w:p w:rsidR="00314E24" w:rsidRPr="00314E24" w:rsidRDefault="00314E24" w:rsidP="00202734">
            <w:pPr>
              <w:jc w:val="both"/>
              <w:rPr>
                <w:rFonts w:ascii="Times New Roman" w:hAnsi="Times New Roman"/>
                <w:sz w:val="22"/>
                <w:szCs w:val="24"/>
              </w:rPr>
            </w:pPr>
            <w:r w:rsidRPr="00314E24">
              <w:rPr>
                <w:rFonts w:ascii="Times New Roman" w:hAnsi="Times New Roman"/>
                <w:sz w:val="22"/>
                <w:szCs w:val="24"/>
              </w:rPr>
              <w:br/>
            </w:r>
            <w:r w:rsidRPr="00D1728E">
              <w:rPr>
                <w:rFonts w:ascii="Times New Roman" w:hAnsi="Times New Roman"/>
                <w:b/>
                <w:bCs/>
                <w:sz w:val="22"/>
                <w:szCs w:val="24"/>
              </w:rPr>
              <w:t>Use this e-mail address for applications only. Do not send any other communications to this address.</w:t>
            </w:r>
            <w:r w:rsidRPr="00314E24">
              <w:rPr>
                <w:rFonts w:ascii="Times New Roman" w:hAnsi="Times New Roman"/>
                <w:sz w:val="22"/>
                <w:szCs w:val="24"/>
              </w:rPr>
              <w:br/>
            </w:r>
            <w:r w:rsidRPr="00314E24">
              <w:rPr>
                <w:rFonts w:ascii="Times New Roman" w:hAnsi="Times New Roman"/>
                <w:sz w:val="22"/>
                <w:szCs w:val="24"/>
              </w:rPr>
              <w:br/>
              <w:t xml:space="preserve">The tentative meeting date for the Louisiana Engineering Selection Board is </w:t>
            </w:r>
            <w:r w:rsidRPr="00314E24">
              <w:rPr>
                <w:rFonts w:ascii="Times New Roman" w:hAnsi="Times New Roman"/>
                <w:b/>
                <w:bCs/>
                <w:sz w:val="22"/>
                <w:szCs w:val="24"/>
              </w:rPr>
              <w:t>Tuesday, March 29, 2016 at 11:00 AM at Claiborne Building, 1201 N. Third Street, Room 1-153, Baton Rouge, Louisiana 70802.</w:t>
            </w:r>
            <w:r w:rsidRPr="00314E24">
              <w:rPr>
                <w:rFonts w:ascii="Times New Roman" w:hAnsi="Times New Roman"/>
                <w:sz w:val="22"/>
                <w:szCs w:val="24"/>
              </w:rPr>
              <w:t xml:space="preserve"> </w:t>
            </w:r>
          </w:p>
        </w:tc>
      </w:tr>
    </w:tbl>
    <w:p w:rsidR="004D5637" w:rsidRPr="00D1728E" w:rsidRDefault="004D5637" w:rsidP="00202734">
      <w:pPr>
        <w:rPr>
          <w:rFonts w:ascii="Times New Roman" w:hAnsi="Times New Roman"/>
          <w:sz w:val="22"/>
        </w:rPr>
      </w:pPr>
    </w:p>
    <w:sectPr w:rsidR="004D5637" w:rsidRPr="00D1728E" w:rsidSect="00202734">
      <w:pgSz w:w="12240" w:h="15840"/>
      <w:pgMar w:top="720" w:right="720" w:bottom="432"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2"/>
  </w:compat>
  <w:rsids>
    <w:rsidRoot w:val="00314E24"/>
    <w:rsid w:val="00031708"/>
    <w:rsid w:val="00202734"/>
    <w:rsid w:val="00314E24"/>
    <w:rsid w:val="004A6E0A"/>
    <w:rsid w:val="004D5637"/>
    <w:rsid w:val="00553335"/>
    <w:rsid w:val="0055540E"/>
    <w:rsid w:val="00A44B5D"/>
    <w:rsid w:val="00C37BC0"/>
    <w:rsid w:val="00D1728E"/>
    <w:rsid w:val="00EE16E9"/>
    <w:rsid w:val="00FB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6109C8-50B0-4A78-B886-92517927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637"/>
    <w:rPr>
      <w:rFonts w:ascii="CG Times" w:hAnsi="CG Times"/>
      <w:sz w:val="24"/>
    </w:rPr>
  </w:style>
  <w:style w:type="paragraph" w:styleId="Heading2">
    <w:name w:val="heading 2"/>
    <w:basedOn w:val="Normal"/>
    <w:link w:val="Heading2Char"/>
    <w:uiPriority w:val="9"/>
    <w:qFormat/>
    <w:rsid w:val="00314E24"/>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4E24"/>
    <w:rPr>
      <w:b/>
      <w:bCs/>
      <w:sz w:val="36"/>
      <w:szCs w:val="36"/>
    </w:rPr>
  </w:style>
  <w:style w:type="character" w:styleId="Hyperlink">
    <w:name w:val="Hyperlink"/>
    <w:basedOn w:val="DefaultParagraphFont"/>
    <w:uiPriority w:val="99"/>
    <w:semiHidden/>
    <w:unhideWhenUsed/>
    <w:rsid w:val="00314E24"/>
    <w:rPr>
      <w:color w:val="0000FF"/>
      <w:u w:val="single"/>
    </w:rPr>
  </w:style>
  <w:style w:type="character" w:styleId="Strong">
    <w:name w:val="Strong"/>
    <w:basedOn w:val="DefaultParagraphFont"/>
    <w:uiPriority w:val="22"/>
    <w:qFormat/>
    <w:rsid w:val="00314E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0866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oa.la.gov/Pages/ofpc/Index.aspx" TargetMode="External"/><Relationship Id="rId4" Type="http://schemas.openxmlformats.org/officeDocument/2006/relationships/hyperlink" Target="http://www.doa.la.gov/Pages/ofpc/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DC936F65.dotm</Template>
  <TotalTime>0</TotalTime>
  <Pages>3</Pages>
  <Words>1982</Words>
  <Characters>11302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13258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Barnes</dc:creator>
  <cp:keywords/>
  <dc:description/>
  <cp:lastModifiedBy>Jessica Barnes</cp:lastModifiedBy>
  <cp:revision>3</cp:revision>
  <dcterms:created xsi:type="dcterms:W3CDTF">2016-02-25T20:36:00Z</dcterms:created>
  <dcterms:modified xsi:type="dcterms:W3CDTF">2016-03-22T19:46:00Z</dcterms:modified>
</cp:coreProperties>
</file>