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E66B0" w:rsidP="004C60AC">
      <w:pPr>
        <w:ind w:left="720" w:right="420"/>
        <w:jc w:val="center"/>
      </w:pPr>
      <w:r>
        <w:t xml:space="preserve"> </w:t>
      </w:r>
      <w:bookmarkStart w:id="0" w:name="_GoBack"/>
      <w:bookmarkEnd w:id="0"/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506647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26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506647">
        <w:rPr>
          <w:rFonts w:eastAsia="Times New Roman"/>
          <w:sz w:val="20"/>
          <w:szCs w:val="20"/>
        </w:rPr>
        <w:t>MARCH 29</w:t>
      </w:r>
      <w:r w:rsidR="006E5428">
        <w:rPr>
          <w:rFonts w:eastAsia="Times New Roman"/>
          <w:sz w:val="20"/>
          <w:szCs w:val="20"/>
        </w:rPr>
        <w:t>, 2022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3B43B5" w:rsidRDefault="00994E1F" w:rsidP="006F2759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>FINANCIAL DISCLOSURE REMINDER FOR 2021</w:t>
      </w:r>
    </w:p>
    <w:p w:rsidR="001146D1" w:rsidRDefault="003B43B5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0504AB" w:rsidRDefault="000504AB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ANNUAL LETTER TO CITY OF ABBEVILLE AND VERMILION PARISH POLICE JURY</w:t>
      </w:r>
    </w:p>
    <w:p w:rsidR="00781519" w:rsidRPr="002729CD" w:rsidRDefault="005E3476" w:rsidP="00C7622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B05214" w:rsidRDefault="00B05214" w:rsidP="00B05214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CONTRACT CHANGE ORDER #1 – VERMILION SHELL &amp; LIMESTONE CO.,                   INC.</w:t>
      </w:r>
    </w:p>
    <w:p w:rsidR="002E5644" w:rsidRDefault="00B0521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</w:t>
      </w:r>
      <w:r w:rsidR="002E5644">
        <w:rPr>
          <w:rFonts w:eastAsia="Times New Roman"/>
          <w:sz w:val="20"/>
          <w:szCs w:val="20"/>
        </w:rPr>
        <w:t>.</w:t>
      </w:r>
      <w:r w:rsidR="002E5644">
        <w:rPr>
          <w:rFonts w:eastAsia="Times New Roman"/>
          <w:sz w:val="20"/>
          <w:szCs w:val="20"/>
        </w:rPr>
        <w:tab/>
      </w:r>
      <w:r w:rsidR="00F92DFC">
        <w:rPr>
          <w:rFonts w:eastAsia="Times New Roman"/>
          <w:sz w:val="20"/>
          <w:szCs w:val="20"/>
        </w:rPr>
        <w:t>APPROVAL OF VERMILION SHELL &amp; LIMESTONE CO. INC. INVOICE</w:t>
      </w:r>
    </w:p>
    <w:p w:rsidR="002E5644" w:rsidRDefault="00B0521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</w:t>
      </w:r>
      <w:r w:rsidR="002E5644">
        <w:rPr>
          <w:rFonts w:eastAsia="Times New Roman"/>
          <w:sz w:val="20"/>
          <w:szCs w:val="20"/>
        </w:rPr>
        <w:t>.</w:t>
      </w:r>
      <w:r w:rsidR="002E5644">
        <w:rPr>
          <w:rFonts w:eastAsia="Times New Roman"/>
          <w:sz w:val="20"/>
          <w:szCs w:val="20"/>
        </w:rPr>
        <w:tab/>
        <w:t xml:space="preserve">APPROVAL OF </w:t>
      </w:r>
      <w:r w:rsidR="00E941AE">
        <w:rPr>
          <w:rFonts w:eastAsia="Times New Roman"/>
          <w:sz w:val="20"/>
          <w:szCs w:val="20"/>
        </w:rPr>
        <w:t>INVOICE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AE3DD0" w:rsidRDefault="002E193E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FC2795" w:rsidP="00FC2795">
      <w:pPr>
        <w:adjustRightInd w:val="0"/>
        <w:ind w:left="216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 </w:t>
      </w:r>
      <w:r w:rsidR="006F2759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>HURRICANE LAURA – INTRACOASTAL CITY BOAT LAUNCH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4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1A4EDE" w:rsidRDefault="001A4EDE" w:rsidP="001A4EDE">
      <w:pPr>
        <w:adjustRightInd w:val="0"/>
        <w:ind w:left="2970" w:hanging="8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2504FC">
        <w:rPr>
          <w:rFonts w:eastAsia="Times New Roman"/>
          <w:sz w:val="20"/>
          <w:szCs w:val="20"/>
        </w:rPr>
        <w:t>CONSIDERATION OF</w:t>
      </w:r>
      <w:r w:rsidR="001E14C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MOTION TO AMEND OUR REPRESENTATIVE WITH VERMILION ECONOMIC DEVELOPMENT DISTRICT FROM COMMISSIONER CARLTON CAMPELL TO COMMISSIONER PATRICK DUHON AT THE END OF CARLTON CAMPELL’S TERM</w:t>
      </w:r>
      <w:r w:rsidR="002504FC">
        <w:rPr>
          <w:rFonts w:eastAsia="Times New Roman"/>
          <w:sz w:val="20"/>
          <w:szCs w:val="20"/>
        </w:rPr>
        <w:t xml:space="preserve"> WITH</w:t>
      </w:r>
      <w:r>
        <w:rPr>
          <w:rFonts w:eastAsia="Times New Roman"/>
          <w:sz w:val="20"/>
          <w:szCs w:val="20"/>
        </w:rPr>
        <w:t xml:space="preserve"> VERMILION ECONOMIC DEVELOPMENT DISTRICT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E14DC8" w:rsidRDefault="00E14DC8" w:rsidP="00AE3DD0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F02873" w:rsidRDefault="00C42E9F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sz w:val="16"/>
          <w:szCs w:val="16"/>
        </w:rPr>
        <w:t xml:space="preserve">  </w:t>
      </w: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22" w:rsidRDefault="005B0922" w:rsidP="00A13E30">
      <w:r>
        <w:separator/>
      </w:r>
    </w:p>
  </w:endnote>
  <w:endnote w:type="continuationSeparator" w:id="0">
    <w:p w:rsidR="005B0922" w:rsidRDefault="005B092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22" w:rsidRDefault="005B0922" w:rsidP="00A13E30">
      <w:r>
        <w:separator/>
      </w:r>
    </w:p>
  </w:footnote>
  <w:footnote w:type="continuationSeparator" w:id="0">
    <w:p w:rsidR="005B0922" w:rsidRDefault="005B0922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4AB"/>
    <w:rsid w:val="00050885"/>
    <w:rsid w:val="00056950"/>
    <w:rsid w:val="00062819"/>
    <w:rsid w:val="0007237D"/>
    <w:rsid w:val="00073DEE"/>
    <w:rsid w:val="00092CA8"/>
    <w:rsid w:val="00096332"/>
    <w:rsid w:val="000C2C7F"/>
    <w:rsid w:val="000C499A"/>
    <w:rsid w:val="000D1B4C"/>
    <w:rsid w:val="000D27A5"/>
    <w:rsid w:val="000F2A80"/>
    <w:rsid w:val="00100F8C"/>
    <w:rsid w:val="001146D1"/>
    <w:rsid w:val="001212CE"/>
    <w:rsid w:val="00137648"/>
    <w:rsid w:val="00144898"/>
    <w:rsid w:val="00151F4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E00B3"/>
    <w:rsid w:val="001E01F9"/>
    <w:rsid w:val="001E14C3"/>
    <w:rsid w:val="001E41AC"/>
    <w:rsid w:val="001F284B"/>
    <w:rsid w:val="0020052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04FC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49EB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06647"/>
    <w:rsid w:val="0051768D"/>
    <w:rsid w:val="0053427C"/>
    <w:rsid w:val="00546037"/>
    <w:rsid w:val="00546DC2"/>
    <w:rsid w:val="00547820"/>
    <w:rsid w:val="00552022"/>
    <w:rsid w:val="005544E1"/>
    <w:rsid w:val="005643DC"/>
    <w:rsid w:val="005647B2"/>
    <w:rsid w:val="00567274"/>
    <w:rsid w:val="0057352A"/>
    <w:rsid w:val="00573D45"/>
    <w:rsid w:val="00581265"/>
    <w:rsid w:val="00593FEA"/>
    <w:rsid w:val="005A086D"/>
    <w:rsid w:val="005B0922"/>
    <w:rsid w:val="005B4681"/>
    <w:rsid w:val="005D0FE9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989"/>
    <w:rsid w:val="00624D84"/>
    <w:rsid w:val="006425F2"/>
    <w:rsid w:val="0064355A"/>
    <w:rsid w:val="00643F04"/>
    <w:rsid w:val="00654E9D"/>
    <w:rsid w:val="006618DA"/>
    <w:rsid w:val="006839D4"/>
    <w:rsid w:val="00691002"/>
    <w:rsid w:val="00691952"/>
    <w:rsid w:val="0069619E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497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E66B0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403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71102"/>
    <w:rsid w:val="00C72189"/>
    <w:rsid w:val="00C725B1"/>
    <w:rsid w:val="00C76225"/>
    <w:rsid w:val="00C81686"/>
    <w:rsid w:val="00CA2FC4"/>
    <w:rsid w:val="00CA7636"/>
    <w:rsid w:val="00CB0C05"/>
    <w:rsid w:val="00CB3759"/>
    <w:rsid w:val="00CC63B9"/>
    <w:rsid w:val="00CE1A45"/>
    <w:rsid w:val="00CE4D48"/>
    <w:rsid w:val="00D04A57"/>
    <w:rsid w:val="00D20B71"/>
    <w:rsid w:val="00D25C3C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580B"/>
    <w:rsid w:val="00E87FBA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11</cp:revision>
  <cp:lastPrinted>2022-04-26T18:36:00Z</cp:lastPrinted>
  <dcterms:created xsi:type="dcterms:W3CDTF">2022-04-20T18:19:00Z</dcterms:created>
  <dcterms:modified xsi:type="dcterms:W3CDTF">2022-04-26T19:12:00Z</dcterms:modified>
  <cp:category> </cp:category>
</cp:coreProperties>
</file>