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6B0A91">
        <w:rPr>
          <w:rFonts w:ascii="Times New Roman" w:hAnsi="Times New Roman"/>
          <w:b/>
          <w:bCs/>
          <w:sz w:val="22"/>
          <w:szCs w:val="22"/>
          <w:u w:val="single"/>
        </w:rPr>
        <w:t>MAY 29,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May 29,</w:t>
      </w:r>
      <w:r w:rsidR="00BF2D31">
        <w:rPr>
          <w:rFonts w:ascii="Times New Roman" w:hAnsi="Times New Roman"/>
        </w:rPr>
        <w:t xml:space="preserve"> 2019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264F07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84C0A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C0A">
        <w:rPr>
          <w:rFonts w:ascii="Times New Roman" w:hAnsi="Times New Roman"/>
        </w:rPr>
        <w:t>Dominique J. Monlezun, Commissioner</w:t>
      </w:r>
    </w:p>
    <w:p w:rsidR="00A45711" w:rsidRDefault="00A45711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Mark Morrison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3A633A">
        <w:rPr>
          <w:rFonts w:ascii="Times New Roman" w:hAnsi="Times New Roman"/>
        </w:rPr>
        <w:t>Hopson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</w:t>
      </w:r>
      <w:r w:rsidR="003A633A">
        <w:rPr>
          <w:rFonts w:ascii="Times New Roman" w:hAnsi="Times New Roman"/>
        </w:rPr>
        <w:t>ajor Morrison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April</w:t>
      </w:r>
      <w:r w:rsidR="00FF02DD">
        <w:rPr>
          <w:rFonts w:ascii="Times New Roman" w:hAnsi="Times New Roman"/>
        </w:rPr>
        <w:t xml:space="preserve"> 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6B0A91">
        <w:rPr>
          <w:rFonts w:ascii="Times New Roman" w:hAnsi="Times New Roman"/>
        </w:rPr>
        <w:t>April</w:t>
      </w:r>
      <w:r w:rsidR="00FF02DD">
        <w:rPr>
          <w:rFonts w:ascii="Times New Roman" w:hAnsi="Times New Roman"/>
        </w:rPr>
        <w:t xml:space="preserve"> 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April</w:t>
      </w:r>
      <w:r w:rsidR="00292217">
        <w:rPr>
          <w:rFonts w:ascii="Times New Roman" w:hAnsi="Times New Roman"/>
        </w:rPr>
        <w:t xml:space="preserve"> </w:t>
      </w:r>
      <w:r w:rsidR="00BF2D31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8</w:t>
      </w:r>
      <w:r w:rsidR="003511AC">
        <w:rPr>
          <w:rFonts w:ascii="Times New Roman" w:hAnsi="Times New Roman"/>
        </w:rPr>
        <w:t>/</w:t>
      </w:r>
      <w:r w:rsidR="00584C0A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 xml:space="preserve">April </w:t>
      </w:r>
      <w:r w:rsidR="00FF02DD">
        <w:rPr>
          <w:rFonts w:ascii="Times New Roman" w:hAnsi="Times New Roman"/>
        </w:rPr>
        <w:t>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6B0A91">
        <w:rPr>
          <w:rFonts w:ascii="Times New Roman" w:hAnsi="Times New Roman"/>
        </w:rPr>
        <w:t>April</w:t>
      </w:r>
      <w:r w:rsidR="00FF02DD">
        <w:rPr>
          <w:rFonts w:ascii="Times New Roman" w:hAnsi="Times New Roman"/>
        </w:rPr>
        <w:t xml:space="preserve"> 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6B0A91">
        <w:rPr>
          <w:rFonts w:ascii="Times New Roman" w:hAnsi="Times New Roman"/>
        </w:rPr>
        <w:t>June 26</w:t>
      </w:r>
      <w:r w:rsidR="006B0A91" w:rsidRPr="006B0A91">
        <w:rPr>
          <w:rFonts w:ascii="Times New Roman" w:hAnsi="Times New Roman"/>
          <w:vertAlign w:val="superscript"/>
        </w:rPr>
        <w:t>th</w:t>
      </w:r>
      <w:r w:rsidR="006B0A91">
        <w:rPr>
          <w:rFonts w:ascii="Times New Roman" w:hAnsi="Times New Roman"/>
        </w:rPr>
        <w:t xml:space="preserve"> &amp; 27</w:t>
      </w:r>
      <w:r w:rsidR="006B0A91">
        <w:rPr>
          <w:rFonts w:ascii="Times New Roman" w:hAnsi="Times New Roman"/>
          <w:vertAlign w:val="superscript"/>
        </w:rPr>
        <w:t xml:space="preserve">th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F47612">
        <w:t>None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F47612">
        <w:rPr>
          <w:rFonts w:ascii="Times New Roman" w:hAnsi="Times New Roman"/>
        </w:rPr>
        <w:t>May</w:t>
      </w:r>
      <w:r w:rsidR="003A633A">
        <w:rPr>
          <w:rFonts w:ascii="Times New Roman" w:hAnsi="Times New Roman"/>
        </w:rPr>
        <w:t xml:space="preserve"> </w:t>
      </w:r>
      <w:r w:rsidR="00F47612">
        <w:rPr>
          <w:rFonts w:ascii="Times New Roman" w:hAnsi="Times New Roman"/>
        </w:rPr>
        <w:t>3</w:t>
      </w:r>
      <w:r w:rsidR="00317DD5">
        <w:rPr>
          <w:rFonts w:ascii="Times New Roman" w:hAnsi="Times New Roman"/>
        </w:rPr>
        <w:t>, 2019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F47612">
        <w:rPr>
          <w:rFonts w:ascii="Times New Roman" w:hAnsi="Times New Roman"/>
          <w:b/>
          <w:u w:val="single"/>
        </w:rPr>
        <w:t>455,599.32.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DA0E81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Alario </w:t>
      </w:r>
      <w:r w:rsidR="004374F8">
        <w:rPr>
          <w:rFonts w:ascii="Times New Roman" w:hAnsi="Times New Roman"/>
        </w:rPr>
        <w:t xml:space="preserve">updated the Commission </w:t>
      </w:r>
      <w:r w:rsidR="00F47612">
        <w:rPr>
          <w:rFonts w:ascii="Times New Roman" w:hAnsi="Times New Roman"/>
        </w:rPr>
        <w:t>on some of the findings by the Legislative Auditor’s office</w:t>
      </w:r>
      <w:r w:rsidR="001A0D98">
        <w:rPr>
          <w:rFonts w:ascii="Times New Roman" w:hAnsi="Times New Roman"/>
        </w:rPr>
        <w:t>.</w:t>
      </w:r>
      <w:r w:rsidR="00F47612">
        <w:rPr>
          <w:rFonts w:ascii="Times New Roman" w:hAnsi="Times New Roman"/>
        </w:rPr>
        <w:t xml:space="preserve"> As a result, Mr. Alario requested for changes to the current filing fees. Classes 1-6, 6X, 7-9, A1-A3 filing fee is $150; all remaining classes shall have a $25 filing fee. On motion by Mr. Cleveland, seconded by</w:t>
      </w:r>
      <w:r w:rsidR="00C3305F">
        <w:rPr>
          <w:rFonts w:ascii="Times New Roman" w:hAnsi="Times New Roman"/>
        </w:rPr>
        <w:t xml:space="preserve"> Mr. Hopson, the requested filing fees was approved. The proposed continued education requirement is six hours. Any employees with a card of competency employed by a class 1 dealer must complete six hours every year beginning 2021. On motion by Mr. Cleveland, seconded by Mr. Monlezun, the requirement was approved. Mr. Alario also requested to move from </w:t>
      </w:r>
      <w:r w:rsidR="00C3305F">
        <w:rPr>
          <w:rFonts w:ascii="Times New Roman" w:hAnsi="Times New Roman"/>
        </w:rPr>
        <w:lastRenderedPageBreak/>
        <w:t>the NFPA 08/09 edition to the 17/18 edition. On motion by Major Morrison, seconded by Mr. Monlezun, the 17/18 edition was approved.</w:t>
      </w:r>
    </w:p>
    <w:p w:rsidR="00C3305F" w:rsidRDefault="00C3305F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Louisiana Propane Gas Association, Mr. Randy Hayden approached the Commission. The statewide training that has been funded by PERC is concluding. Mr. Hayden believes continuing education is a positive step for everyone. He expressed the importance of making sure all members will be educat</w:t>
      </w:r>
      <w:r w:rsidR="006653A9">
        <w:rPr>
          <w:rFonts w:ascii="Times New Roman" w:hAnsi="Times New Roman"/>
        </w:rPr>
        <w:t>ed</w:t>
      </w:r>
      <w:bookmarkStart w:id="0" w:name="_GoBack"/>
      <w:bookmarkEnd w:id="0"/>
      <w:r>
        <w:rPr>
          <w:rFonts w:ascii="Times New Roman" w:hAnsi="Times New Roman"/>
        </w:rPr>
        <w:t xml:space="preserve"> on the NFPA 17/18 edition that has been implemented by the Commission. The summer convention will be held in Pensacola, Florida with the Alabama Propane Commission</w:t>
      </w:r>
      <w:r w:rsidR="006653A9">
        <w:rPr>
          <w:rFonts w:ascii="Times New Roman" w:hAnsi="Times New Roman"/>
        </w:rPr>
        <w:t>. Industry members are interested in some opportunities this fall in relation with the market development fund. There was continued discussion regarding continuing education.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Hopson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B2B6C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FB2A-112F-4D78-8489-0F75571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2019-04-17T20:14:00Z</cp:lastPrinted>
  <dcterms:created xsi:type="dcterms:W3CDTF">2019-07-19T18:02:00Z</dcterms:created>
  <dcterms:modified xsi:type="dcterms:W3CDTF">2019-07-19T18:02:00Z</dcterms:modified>
</cp:coreProperties>
</file>