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9434C0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932B95">
        <w:rPr>
          <w:rFonts w:ascii="Times New Roman" w:hAnsi="Times New Roman"/>
          <w:b/>
          <w:bCs/>
          <w:sz w:val="22"/>
          <w:szCs w:val="22"/>
          <w:u w:val="single"/>
        </w:rPr>
        <w:t xml:space="preserve">FEBRUARY 15, 2023 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Liquefied Petroleum Gas Commission held its regular meeting at </w:t>
      </w:r>
      <w:r w:rsidR="00932B95">
        <w:rPr>
          <w:rFonts w:ascii="Times New Roman" w:hAnsi="Times New Roman"/>
        </w:rPr>
        <w:t>11</w:t>
      </w:r>
      <w:r>
        <w:rPr>
          <w:rFonts w:ascii="Times New Roman" w:hAnsi="Times New Roman"/>
        </w:rPr>
        <w:t>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r w:rsidR="00932B95">
        <w:rPr>
          <w:rFonts w:ascii="Times New Roman" w:hAnsi="Times New Roman"/>
        </w:rPr>
        <w:t>a</w:t>
      </w:r>
      <w:r>
        <w:rPr>
          <w:rFonts w:ascii="Times New Roman" w:hAnsi="Times New Roman"/>
        </w:rPr>
        <w:t>.m.</w:t>
      </w:r>
      <w:r w:rsidR="009434C0">
        <w:rPr>
          <w:rFonts w:ascii="Times New Roman" w:hAnsi="Times New Roman"/>
        </w:rPr>
        <w:t xml:space="preserve">, </w:t>
      </w:r>
      <w:r w:rsidR="00932B95">
        <w:rPr>
          <w:rFonts w:ascii="Times New Roman" w:hAnsi="Times New Roman"/>
        </w:rPr>
        <w:t>February 15,</w:t>
      </w:r>
      <w:r w:rsidR="00C942DE">
        <w:rPr>
          <w:rFonts w:ascii="Times New Roman" w:hAnsi="Times New Roman"/>
        </w:rPr>
        <w:t xml:space="preserve"> 202</w:t>
      </w:r>
      <w:r w:rsidR="003C67F9">
        <w:rPr>
          <w:rFonts w:ascii="Times New Roman" w:hAnsi="Times New Roman"/>
        </w:rPr>
        <w:t>3</w:t>
      </w:r>
      <w:r w:rsidR="006C45D5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A92287">
        <w:rPr>
          <w:rFonts w:ascii="Times New Roman" w:hAnsi="Times New Roman"/>
        </w:rPr>
        <w:t>Ira Cleveland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9434C0" w:rsidRDefault="009434C0" w:rsidP="009434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Dominique Monlezun, Commissioner</w:t>
      </w:r>
    </w:p>
    <w:p w:rsidR="003C67F9" w:rsidRDefault="003C67F9" w:rsidP="009434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Ricky Lee Cleveland, Commissioner </w:t>
      </w:r>
    </w:p>
    <w:p w:rsidR="00264F07" w:rsidRDefault="00C942DE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Thompson</w:t>
      </w:r>
      <w:r w:rsidR="00A92287">
        <w:rPr>
          <w:rFonts w:ascii="Times New Roman" w:hAnsi="Times New Roman"/>
        </w:rPr>
        <w:t>, Commissioner</w:t>
      </w:r>
    </w:p>
    <w:p w:rsidR="00736BA4" w:rsidRDefault="00736BA4" w:rsidP="00A92287">
      <w:pPr>
        <w:jc w:val="center"/>
        <w:rPr>
          <w:rFonts w:ascii="Times New Roman" w:hAnsi="Times New Roman"/>
        </w:rPr>
      </w:pP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AA1643" w:rsidRDefault="00AA1643" w:rsidP="00AA1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0E390A">
        <w:rPr>
          <w:rFonts w:ascii="Times New Roman" w:hAnsi="Times New Roman"/>
        </w:rPr>
        <w:t>Commissioner</w:t>
      </w:r>
      <w:r>
        <w:rPr>
          <w:rFonts w:ascii="Times New Roman" w:hAnsi="Times New Roman"/>
        </w:rPr>
        <w:t xml:space="preserve"> </w:t>
      </w:r>
      <w:r w:rsidR="009A25CF">
        <w:rPr>
          <w:rFonts w:ascii="Times New Roman" w:hAnsi="Times New Roman"/>
        </w:rPr>
        <w:t>Thompson</w:t>
      </w:r>
      <w:r>
        <w:rPr>
          <w:rFonts w:ascii="Times New Roman" w:hAnsi="Times New Roman"/>
        </w:rPr>
        <w:t xml:space="preserve">, seconded by </w:t>
      </w:r>
      <w:r w:rsidR="000E390A">
        <w:rPr>
          <w:rFonts w:ascii="Times New Roman" w:hAnsi="Times New Roman"/>
        </w:rPr>
        <w:t>Commissioner</w:t>
      </w:r>
      <w:r w:rsidR="00736BA4">
        <w:rPr>
          <w:rFonts w:ascii="Times New Roman" w:hAnsi="Times New Roman"/>
        </w:rPr>
        <w:t xml:space="preserve"> </w:t>
      </w:r>
      <w:r w:rsidR="006C0E69">
        <w:rPr>
          <w:rFonts w:ascii="Times New Roman" w:hAnsi="Times New Roman"/>
        </w:rPr>
        <w:t xml:space="preserve">R. Cleveland, </w:t>
      </w:r>
      <w:r w:rsidR="00EB3B95">
        <w:rPr>
          <w:rFonts w:ascii="Times New Roman" w:hAnsi="Times New Roman"/>
        </w:rPr>
        <w:t>the</w:t>
      </w:r>
      <w:r w:rsidR="00D767E6">
        <w:rPr>
          <w:rFonts w:ascii="Times New Roman" w:hAnsi="Times New Roman"/>
        </w:rPr>
        <w:t xml:space="preserve"> </w:t>
      </w:r>
      <w:r w:rsidR="006A513C">
        <w:rPr>
          <w:rFonts w:ascii="Times New Roman" w:hAnsi="Times New Roman"/>
        </w:rPr>
        <w:t>minutes were approved</w:t>
      </w:r>
      <w:r w:rsidR="00D767E6">
        <w:rPr>
          <w:rFonts w:ascii="Times New Roman" w:hAnsi="Times New Roman"/>
        </w:rPr>
        <w:t>.</w:t>
      </w:r>
    </w:p>
    <w:p w:rsidR="000E390A" w:rsidRDefault="000E390A" w:rsidP="00AA1643">
      <w:pPr>
        <w:jc w:val="both"/>
        <w:rPr>
          <w:rFonts w:ascii="Times New Roman" w:hAnsi="Times New Roman"/>
        </w:rPr>
      </w:pPr>
    </w:p>
    <w:p w:rsidR="000E390A" w:rsidRDefault="000E390A" w:rsidP="000E3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Reviewed statistical reports for </w:t>
      </w:r>
      <w:r w:rsidR="00932B95">
        <w:rPr>
          <w:rFonts w:ascii="Times New Roman" w:hAnsi="Times New Roman"/>
        </w:rPr>
        <w:t>January 2023.</w:t>
      </w:r>
    </w:p>
    <w:p w:rsidR="00B775AA" w:rsidRDefault="00B775AA" w:rsidP="00B775AA">
      <w:pPr>
        <w:jc w:val="both"/>
        <w:rPr>
          <w:rFonts w:ascii="Times New Roman" w:hAnsi="Times New Roman"/>
        </w:rPr>
      </w:pPr>
    </w:p>
    <w:p w:rsidR="00C92680" w:rsidRDefault="00314706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Reviewed</w:t>
      </w:r>
      <w:r w:rsidR="002D52D3">
        <w:rPr>
          <w:rFonts w:ascii="Times New Roman" w:hAnsi="Times New Roman"/>
        </w:rPr>
        <w:t xml:space="preserve"> accounting total reports for</w:t>
      </w:r>
      <w:r w:rsidR="00C80F21">
        <w:rPr>
          <w:rFonts w:ascii="Times New Roman" w:hAnsi="Times New Roman"/>
        </w:rPr>
        <w:t xml:space="preserve"> </w:t>
      </w:r>
      <w:r w:rsidR="00932B95">
        <w:rPr>
          <w:rFonts w:ascii="Times New Roman" w:hAnsi="Times New Roman"/>
        </w:rPr>
        <w:t>January</w:t>
      </w:r>
      <w:r w:rsidR="003C67F9">
        <w:rPr>
          <w:rFonts w:ascii="Times New Roman" w:hAnsi="Times New Roman"/>
        </w:rPr>
        <w:t xml:space="preserve"> </w:t>
      </w:r>
      <w:r w:rsidR="000E390A">
        <w:rPr>
          <w:rFonts w:ascii="Times New Roman" w:hAnsi="Times New Roman"/>
        </w:rPr>
        <w:t>202</w:t>
      </w:r>
      <w:r w:rsidR="00932B95">
        <w:rPr>
          <w:rFonts w:ascii="Times New Roman" w:hAnsi="Times New Roman"/>
        </w:rPr>
        <w:t>2</w:t>
      </w:r>
      <w:r w:rsidR="000E390A">
        <w:rPr>
          <w:rFonts w:ascii="Times New Roman" w:hAnsi="Times New Roman"/>
        </w:rPr>
        <w:t>/202</w:t>
      </w:r>
      <w:r w:rsidR="00932B95">
        <w:rPr>
          <w:rFonts w:ascii="Times New Roman" w:hAnsi="Times New Roman"/>
        </w:rPr>
        <w:t>3</w:t>
      </w:r>
      <w:r w:rsidR="000E390A">
        <w:rPr>
          <w:rFonts w:ascii="Times New Roman" w:hAnsi="Times New Roman"/>
        </w:rPr>
        <w:t>.</w:t>
      </w:r>
    </w:p>
    <w:p w:rsidR="00314706" w:rsidRDefault="00314706" w:rsidP="00A804BD">
      <w:pPr>
        <w:jc w:val="both"/>
        <w:rPr>
          <w:rFonts w:ascii="Times New Roman" w:hAnsi="Times New Roman"/>
        </w:rPr>
      </w:pPr>
    </w:p>
    <w:p w:rsidR="003D6090" w:rsidRDefault="00314706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Reviewed report o</w:t>
      </w:r>
      <w:r w:rsidR="000E390A">
        <w:rPr>
          <w:rFonts w:ascii="Times New Roman" w:hAnsi="Times New Roman"/>
        </w:rPr>
        <w:t>f</w:t>
      </w:r>
      <w:r w:rsidR="00C92680">
        <w:rPr>
          <w:rFonts w:ascii="Times New Roman" w:hAnsi="Times New Roman"/>
        </w:rPr>
        <w:t xml:space="preserve"> fires and accidents fo</w:t>
      </w:r>
      <w:r>
        <w:rPr>
          <w:rFonts w:ascii="Times New Roman" w:hAnsi="Times New Roman"/>
        </w:rPr>
        <w:t xml:space="preserve">r </w:t>
      </w:r>
      <w:r w:rsidR="00932B95">
        <w:rPr>
          <w:rFonts w:ascii="Times New Roman" w:hAnsi="Times New Roman"/>
        </w:rPr>
        <w:t xml:space="preserve">January </w:t>
      </w:r>
      <w:r w:rsidR="000E390A">
        <w:rPr>
          <w:rFonts w:ascii="Times New Roman" w:hAnsi="Times New Roman"/>
        </w:rPr>
        <w:t>2022.</w:t>
      </w:r>
      <w:r w:rsidR="00C92680">
        <w:rPr>
          <w:rFonts w:ascii="Times New Roman" w:hAnsi="Times New Roman"/>
        </w:rPr>
        <w:t xml:space="preserve">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314706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Reviewed compliance audits for </w:t>
      </w:r>
      <w:r w:rsidR="00932B95">
        <w:rPr>
          <w:rFonts w:ascii="Times New Roman" w:hAnsi="Times New Roman"/>
        </w:rPr>
        <w:t xml:space="preserve">January </w:t>
      </w:r>
      <w:r w:rsidR="000E390A">
        <w:rPr>
          <w:rFonts w:ascii="Times New Roman" w:hAnsi="Times New Roman"/>
        </w:rPr>
        <w:t>2022.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</w:t>
      </w:r>
      <w:r w:rsidR="00932B95">
        <w:rPr>
          <w:rFonts w:ascii="Times New Roman" w:hAnsi="Times New Roman"/>
        </w:rPr>
        <w:t>March 29</w:t>
      </w:r>
      <w:r w:rsidR="00932B95" w:rsidRPr="00932B95">
        <w:rPr>
          <w:rFonts w:ascii="Times New Roman" w:hAnsi="Times New Roman"/>
          <w:vertAlign w:val="superscript"/>
        </w:rPr>
        <w:t>th</w:t>
      </w:r>
      <w:r w:rsidR="00932B95">
        <w:rPr>
          <w:rFonts w:ascii="Times New Roman" w:hAnsi="Times New Roman"/>
        </w:rPr>
        <w:t xml:space="preserve"> &amp; 30</w:t>
      </w:r>
      <w:r w:rsidR="00932B95" w:rsidRPr="00932B95">
        <w:rPr>
          <w:rFonts w:ascii="Times New Roman" w:hAnsi="Times New Roman"/>
          <w:vertAlign w:val="superscript"/>
        </w:rPr>
        <w:t>th</w:t>
      </w:r>
      <w:r w:rsidR="00932B95">
        <w:rPr>
          <w:rFonts w:ascii="Times New Roman" w:hAnsi="Times New Roman"/>
        </w:rPr>
        <w:t xml:space="preserve"> </w:t>
      </w:r>
      <w:r w:rsidR="0097314B">
        <w:rPr>
          <w:rFonts w:ascii="Times New Roman" w:hAnsi="Times New Roman"/>
        </w:rPr>
        <w:t xml:space="preserve"> 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97314B">
        <w:rPr>
          <w:b/>
        </w:rPr>
        <w:t xml:space="preserve"> </w:t>
      </w:r>
      <w:r w:rsidR="009A25CF">
        <w:t xml:space="preserve">Approximately </w:t>
      </w:r>
      <w:r w:rsidR="00932B95">
        <w:t>25</w:t>
      </w:r>
      <w:r w:rsidR="00314706">
        <w:t>;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932B95">
        <w:rPr>
          <w:rFonts w:ascii="Times New Roman" w:hAnsi="Times New Roman"/>
        </w:rPr>
        <w:t>February 8,</w:t>
      </w:r>
      <w:r w:rsidR="00C942DE">
        <w:rPr>
          <w:rFonts w:ascii="Times New Roman" w:hAnsi="Times New Roman"/>
        </w:rPr>
        <w:t xml:space="preserve"> 202</w:t>
      </w:r>
      <w:r w:rsidR="003C67F9">
        <w:rPr>
          <w:rFonts w:ascii="Times New Roman" w:hAnsi="Times New Roman"/>
        </w:rPr>
        <w:t>3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932B95">
        <w:rPr>
          <w:rFonts w:ascii="Times New Roman" w:hAnsi="Times New Roman"/>
          <w:b/>
          <w:u w:val="single"/>
        </w:rPr>
        <w:t>192</w:t>
      </w:r>
      <w:r w:rsidR="003C67F9">
        <w:rPr>
          <w:rFonts w:ascii="Times New Roman" w:hAnsi="Times New Roman"/>
          <w:b/>
          <w:u w:val="single"/>
        </w:rPr>
        <w:t>,</w:t>
      </w:r>
      <w:r w:rsidR="00932B95">
        <w:rPr>
          <w:rFonts w:ascii="Times New Roman" w:hAnsi="Times New Roman"/>
          <w:b/>
          <w:u w:val="single"/>
        </w:rPr>
        <w:t>542.61</w:t>
      </w:r>
      <w:r w:rsidR="00E77345">
        <w:rPr>
          <w:rFonts w:ascii="Times New Roman" w:hAnsi="Times New Roman"/>
          <w:b/>
          <w:u w:val="single"/>
        </w:rPr>
        <w:t>.</w:t>
      </w:r>
    </w:p>
    <w:p w:rsidR="00F708B8" w:rsidRDefault="00F708B8" w:rsidP="00F708B8">
      <w:pPr>
        <w:widowControl/>
        <w:spacing w:after="120"/>
        <w:rPr>
          <w:rFonts w:ascii="Times New Roman" w:hAnsi="Times New Roman"/>
          <w:sz w:val="22"/>
          <w:szCs w:val="22"/>
        </w:rPr>
      </w:pPr>
    </w:p>
    <w:p w:rsidR="00F708B8" w:rsidRPr="00F708B8" w:rsidRDefault="00F708B8" w:rsidP="00F708B8">
      <w:pPr>
        <w:widowControl/>
        <w:jc w:val="center"/>
        <w:rPr>
          <w:rFonts w:ascii="Times New Roman" w:hAnsi="Times New Roman"/>
          <w:b/>
          <w:u w:val="single"/>
        </w:rPr>
      </w:pPr>
      <w:r w:rsidRPr="00F708B8">
        <w:rPr>
          <w:rFonts w:ascii="Times New Roman" w:hAnsi="Times New Roman"/>
          <w:b/>
          <w:u w:val="single"/>
        </w:rPr>
        <w:t>VIOLATIONS</w:t>
      </w:r>
    </w:p>
    <w:p w:rsidR="00F708B8" w:rsidRPr="00F708B8" w:rsidRDefault="00F708B8" w:rsidP="00F708B8">
      <w:pPr>
        <w:widowControl/>
        <w:jc w:val="center"/>
        <w:rPr>
          <w:rFonts w:ascii="Times New Roman" w:hAnsi="Times New Roman"/>
          <w:b/>
          <w:u w:val="single"/>
        </w:rPr>
      </w:pPr>
    </w:p>
    <w:p w:rsidR="00F708B8" w:rsidRPr="00F708B8" w:rsidRDefault="00F708B8" w:rsidP="00F708B8">
      <w:pPr>
        <w:widowControl/>
        <w:jc w:val="center"/>
        <w:rPr>
          <w:rFonts w:ascii="Times New Roman" w:hAnsi="Times New Roman"/>
          <w:b/>
          <w:u w:val="single"/>
        </w:rPr>
      </w:pPr>
      <w:r w:rsidRPr="00F708B8">
        <w:rPr>
          <w:rFonts w:ascii="Times New Roman" w:hAnsi="Times New Roman"/>
          <w:b/>
          <w:u w:val="single"/>
        </w:rPr>
        <w:t>NO VIOLATIONS HEARD FOR THE MONTH OF FEBRUARY.</w:t>
      </w:r>
    </w:p>
    <w:p w:rsidR="00F708B8" w:rsidRPr="00F708B8" w:rsidRDefault="00F708B8" w:rsidP="00F708B8">
      <w:pPr>
        <w:widowControl/>
        <w:spacing w:after="120"/>
        <w:rPr>
          <w:rFonts w:ascii="Times New Roman" w:hAnsi="Times New Roman"/>
          <w:b/>
          <w:u w:val="single"/>
        </w:rPr>
      </w:pPr>
    </w:p>
    <w:p w:rsidR="00F708B8" w:rsidRPr="00F708B8" w:rsidRDefault="00F708B8" w:rsidP="00F708B8">
      <w:pPr>
        <w:widowControl/>
        <w:contextualSpacing/>
        <w:jc w:val="center"/>
        <w:rPr>
          <w:rFonts w:ascii="Times New Roman" w:hAnsi="Times New Roman"/>
          <w:b/>
          <w:u w:val="single"/>
        </w:rPr>
      </w:pPr>
    </w:p>
    <w:p w:rsidR="00F708B8" w:rsidRPr="00F708B8" w:rsidRDefault="00F708B8" w:rsidP="00F708B8">
      <w:pPr>
        <w:widowControl/>
        <w:contextualSpacing/>
        <w:jc w:val="center"/>
        <w:rPr>
          <w:rFonts w:ascii="Times New Roman" w:hAnsi="Times New Roman"/>
          <w:b/>
          <w:u w:val="single"/>
        </w:rPr>
      </w:pPr>
      <w:r w:rsidRPr="00F708B8">
        <w:rPr>
          <w:rFonts w:ascii="Times New Roman" w:hAnsi="Times New Roman"/>
          <w:b/>
          <w:u w:val="single"/>
        </w:rPr>
        <w:t>APPLICATIONS</w:t>
      </w:r>
    </w:p>
    <w:p w:rsidR="00F708B8" w:rsidRPr="00F708B8" w:rsidRDefault="00F708B8" w:rsidP="00F708B8">
      <w:pPr>
        <w:widowControl/>
        <w:contextualSpacing/>
        <w:jc w:val="center"/>
        <w:rPr>
          <w:rFonts w:ascii="Times New Roman" w:hAnsi="Times New Roman"/>
          <w:b/>
          <w:u w:val="single"/>
        </w:rPr>
      </w:pPr>
    </w:p>
    <w:p w:rsidR="00F708B8" w:rsidRPr="00F708B8" w:rsidRDefault="00F708B8" w:rsidP="00F708B8">
      <w:pPr>
        <w:widowControl/>
        <w:spacing w:after="60"/>
        <w:jc w:val="center"/>
        <w:rPr>
          <w:rFonts w:ascii="Times New Roman" w:hAnsi="Times New Roman"/>
          <w:sz w:val="22"/>
          <w:szCs w:val="22"/>
          <w:u w:val="single"/>
        </w:rPr>
      </w:pPr>
      <w:r w:rsidRPr="00F708B8">
        <w:rPr>
          <w:rFonts w:ascii="Times New Roman" w:hAnsi="Times New Roman"/>
          <w:sz w:val="22"/>
          <w:szCs w:val="22"/>
          <w:u w:val="single"/>
        </w:rPr>
        <w:t>The following applicant applied for a Class 2 Permit was heard and are hereby ratified by the Commission:</w:t>
      </w:r>
    </w:p>
    <w:tbl>
      <w:tblPr>
        <w:tblW w:w="967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835"/>
      </w:tblGrid>
      <w:tr w:rsidR="00F708B8" w:rsidRPr="00F708B8" w:rsidTr="00A763C7">
        <w:trPr>
          <w:trHeight w:val="70"/>
        </w:trPr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EZ Mobile RV Repair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187 East 71st St.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Cutoff, LA 70345</w:t>
            </w:r>
          </w:p>
        </w:tc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08B8" w:rsidRPr="00F708B8" w:rsidRDefault="00F708B8" w:rsidP="00F708B8">
      <w:pPr>
        <w:widowControl/>
        <w:contextualSpacing/>
        <w:jc w:val="center"/>
        <w:rPr>
          <w:rFonts w:ascii="Times New Roman" w:hAnsi="Times New Roman"/>
          <w:b/>
          <w:u w:val="single"/>
        </w:rPr>
      </w:pPr>
    </w:p>
    <w:p w:rsidR="00F12D51" w:rsidRDefault="00F12D51" w:rsidP="00F708B8">
      <w:pPr>
        <w:widowControl/>
        <w:spacing w:after="6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F12D51" w:rsidRDefault="00F12D51" w:rsidP="00F708B8">
      <w:pPr>
        <w:widowControl/>
        <w:spacing w:after="6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F12D51" w:rsidRDefault="00F708B8" w:rsidP="00F708B8">
      <w:pPr>
        <w:widowControl/>
        <w:spacing w:after="60"/>
        <w:jc w:val="center"/>
        <w:rPr>
          <w:rFonts w:ascii="Times New Roman" w:hAnsi="Times New Roman"/>
          <w:sz w:val="22"/>
          <w:szCs w:val="22"/>
          <w:u w:val="single"/>
        </w:rPr>
      </w:pPr>
      <w:r w:rsidRPr="00F708B8">
        <w:rPr>
          <w:rFonts w:ascii="Times New Roman" w:hAnsi="Times New Roman"/>
          <w:sz w:val="22"/>
          <w:szCs w:val="22"/>
          <w:u w:val="single"/>
        </w:rPr>
        <w:lastRenderedPageBreak/>
        <w:t>The following applicants applied for a Class 6 Permit was heard and are hereby ratified by the</w:t>
      </w:r>
      <w:r w:rsidR="00F12D51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F708B8" w:rsidRPr="00F708B8" w:rsidRDefault="00F12D51" w:rsidP="00F708B8">
      <w:pPr>
        <w:widowControl/>
        <w:spacing w:after="6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</w:t>
      </w:r>
      <w:r w:rsidR="00F708B8" w:rsidRPr="00F708B8">
        <w:rPr>
          <w:rFonts w:ascii="Times New Roman" w:hAnsi="Times New Roman"/>
          <w:sz w:val="22"/>
          <w:szCs w:val="22"/>
          <w:u w:val="single"/>
        </w:rPr>
        <w:t>ommission:</w:t>
      </w:r>
    </w:p>
    <w:tbl>
      <w:tblPr>
        <w:tblW w:w="967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835"/>
      </w:tblGrid>
      <w:tr w:rsidR="00F708B8" w:rsidRPr="00F708B8" w:rsidTr="00A763C7">
        <w:trPr>
          <w:trHeight w:val="70"/>
        </w:trPr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Beyonder Resort Cajun Moon LLC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4631 Louisiana Highway 27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Sulphur, LA 70665</w:t>
            </w:r>
          </w:p>
        </w:tc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Tractor Supply Company #2012           ( Winnfield)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 xml:space="preserve">5401 Virginia Way 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Brentwood, TN 37027</w:t>
            </w:r>
          </w:p>
        </w:tc>
      </w:tr>
      <w:tr w:rsidR="00F708B8" w:rsidRPr="00F708B8" w:rsidTr="00A763C7">
        <w:trPr>
          <w:trHeight w:val="70"/>
        </w:trPr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Tylo Hardware LLC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1776 Highway 22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Madisonville, LA 70447</w:t>
            </w:r>
          </w:p>
        </w:tc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SP 165 Service Center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4245 Main Street Hwy. 165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Olla, LA 71465</w:t>
            </w:r>
          </w:p>
        </w:tc>
      </w:tr>
      <w:tr w:rsidR="00F708B8" w:rsidRPr="00F708B8" w:rsidTr="00A763C7">
        <w:trPr>
          <w:trHeight w:val="70"/>
        </w:trPr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South Beau Hardware and Supply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12707 Hwy 171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Longville, LA 70652</w:t>
            </w:r>
          </w:p>
        </w:tc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Chadeaux’s #3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12210 Hwy 165 S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Kinder, LA 70648</w:t>
            </w:r>
          </w:p>
        </w:tc>
      </w:tr>
    </w:tbl>
    <w:p w:rsidR="00F708B8" w:rsidRPr="00F708B8" w:rsidRDefault="00F708B8" w:rsidP="00F708B8">
      <w:pPr>
        <w:widowControl/>
        <w:contextualSpacing/>
        <w:jc w:val="center"/>
        <w:rPr>
          <w:rFonts w:ascii="Times New Roman" w:hAnsi="Times New Roman"/>
          <w:b/>
          <w:u w:val="single"/>
        </w:rPr>
      </w:pPr>
    </w:p>
    <w:p w:rsidR="00F708B8" w:rsidRPr="00F708B8" w:rsidRDefault="00F708B8" w:rsidP="00F708B8">
      <w:pPr>
        <w:widowControl/>
        <w:spacing w:after="60"/>
        <w:jc w:val="center"/>
        <w:rPr>
          <w:rFonts w:ascii="Times New Roman" w:hAnsi="Times New Roman"/>
          <w:sz w:val="22"/>
          <w:szCs w:val="22"/>
          <w:u w:val="single"/>
        </w:rPr>
      </w:pPr>
      <w:r w:rsidRPr="00F708B8">
        <w:rPr>
          <w:rFonts w:ascii="Times New Roman" w:hAnsi="Times New Roman"/>
          <w:sz w:val="22"/>
          <w:szCs w:val="22"/>
          <w:u w:val="single"/>
        </w:rPr>
        <w:t>The following applicant applied for a Class 7 Permit was heard and are hereby ratified by the Commission:</w:t>
      </w:r>
    </w:p>
    <w:tbl>
      <w:tblPr>
        <w:tblW w:w="967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835"/>
      </w:tblGrid>
      <w:tr w:rsidR="00F708B8" w:rsidRPr="00F708B8" w:rsidTr="00A763C7">
        <w:trPr>
          <w:trHeight w:val="70"/>
        </w:trPr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Farmers Oil Company, Inc.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826 W. Main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Anthony, KS 67003</w:t>
            </w:r>
          </w:p>
        </w:tc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08B8" w:rsidRPr="00F708B8" w:rsidRDefault="00F708B8" w:rsidP="00F708B8">
      <w:pPr>
        <w:widowControl/>
        <w:contextualSpacing/>
        <w:jc w:val="center"/>
        <w:rPr>
          <w:rFonts w:ascii="Times New Roman" w:hAnsi="Times New Roman"/>
          <w:b/>
          <w:u w:val="single"/>
        </w:rPr>
      </w:pPr>
    </w:p>
    <w:p w:rsidR="00F708B8" w:rsidRPr="00F708B8" w:rsidRDefault="00F708B8" w:rsidP="00F708B8">
      <w:pPr>
        <w:widowControl/>
        <w:spacing w:after="60"/>
        <w:jc w:val="center"/>
        <w:rPr>
          <w:rFonts w:ascii="Times New Roman" w:hAnsi="Times New Roman"/>
          <w:sz w:val="22"/>
          <w:szCs w:val="22"/>
          <w:u w:val="single"/>
        </w:rPr>
      </w:pPr>
      <w:r w:rsidRPr="00F708B8">
        <w:rPr>
          <w:rFonts w:ascii="Times New Roman" w:hAnsi="Times New Roman"/>
          <w:sz w:val="22"/>
          <w:szCs w:val="22"/>
          <w:u w:val="single"/>
        </w:rPr>
        <w:t>The following applicant applied for a Class 6X Permit was heard and are hereby ratified by the Commission:</w:t>
      </w:r>
    </w:p>
    <w:tbl>
      <w:tblPr>
        <w:tblW w:w="967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835"/>
      </w:tblGrid>
      <w:tr w:rsidR="00F708B8" w:rsidRPr="00F708B8" w:rsidTr="00A763C7">
        <w:trPr>
          <w:trHeight w:val="70"/>
        </w:trPr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Queb’s Country Store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3007 Hwy 167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Opelousas, LA 70570</w:t>
            </w:r>
          </w:p>
        </w:tc>
        <w:tc>
          <w:tcPr>
            <w:tcW w:w="4835" w:type="dxa"/>
          </w:tcPr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The Daily Stop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2537 Hwy. 10</w:t>
            </w:r>
          </w:p>
          <w:p w:rsidR="00F708B8" w:rsidRPr="00F708B8" w:rsidRDefault="00F708B8" w:rsidP="00F708B8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708B8">
              <w:rPr>
                <w:rFonts w:ascii="Times New Roman" w:hAnsi="Times New Roman"/>
                <w:sz w:val="22"/>
                <w:szCs w:val="22"/>
              </w:rPr>
              <w:t>Jackson, LA 70748</w:t>
            </w:r>
          </w:p>
        </w:tc>
      </w:tr>
    </w:tbl>
    <w:p w:rsidR="000E390A" w:rsidRDefault="000E390A" w:rsidP="000E390A">
      <w:pPr>
        <w:jc w:val="both"/>
        <w:rPr>
          <w:rFonts w:ascii="Times New Roman" w:hAnsi="Times New Roman"/>
        </w:rPr>
      </w:pPr>
    </w:p>
    <w:p w:rsidR="00B93904" w:rsidRDefault="000002E5" w:rsidP="00B9390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behalf of the Louisiana Propane Association</w:t>
      </w:r>
      <w:r w:rsidR="00CF3FE0">
        <w:rPr>
          <w:rFonts w:ascii="Times New Roman" w:hAnsi="Times New Roman"/>
        </w:rPr>
        <w:t xml:space="preserve"> (LPGA)</w:t>
      </w:r>
      <w:r>
        <w:rPr>
          <w:rFonts w:ascii="Times New Roman" w:hAnsi="Times New Roman"/>
        </w:rPr>
        <w:t xml:space="preserve">, </w:t>
      </w:r>
      <w:r w:rsidR="008402D8">
        <w:rPr>
          <w:rFonts w:ascii="Times New Roman" w:hAnsi="Times New Roman"/>
        </w:rPr>
        <w:t>Marcia Bond</w:t>
      </w:r>
      <w:r>
        <w:rPr>
          <w:rFonts w:ascii="Times New Roman" w:hAnsi="Times New Roman"/>
        </w:rPr>
        <w:t xml:space="preserve"> approached the Commission</w:t>
      </w:r>
      <w:r w:rsidR="00B93904">
        <w:rPr>
          <w:rFonts w:ascii="Times New Roman" w:hAnsi="Times New Roman"/>
        </w:rPr>
        <w:t xml:space="preserve"> with updates</w:t>
      </w:r>
      <w:r w:rsidR="00C2178B">
        <w:rPr>
          <w:rFonts w:ascii="Times New Roman" w:hAnsi="Times New Roman"/>
        </w:rPr>
        <w:t xml:space="preserve"> regarding various events hosted by the LPGA including the summer convention.</w:t>
      </w:r>
    </w:p>
    <w:p w:rsidR="00C2178B" w:rsidRDefault="00C2178B" w:rsidP="00B9390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John W. Alario, approximately $110K of the market development fund is encumbered. </w:t>
      </w:r>
    </w:p>
    <w:p w:rsidR="00B93904" w:rsidRDefault="00B93904" w:rsidP="00B9390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An executive session was called by John W. Alario. Once the meeting reconvened, Mr. Alario recommended </w:t>
      </w:r>
      <w:r w:rsidR="00F12D51">
        <w:rPr>
          <w:rFonts w:ascii="Times New Roman" w:hAnsi="Times New Roman"/>
        </w:rPr>
        <w:t xml:space="preserve">Mrs. </w:t>
      </w:r>
      <w:r>
        <w:rPr>
          <w:rFonts w:ascii="Times New Roman" w:hAnsi="Times New Roman"/>
        </w:rPr>
        <w:t>ArieSha J. Dents as Acting Executive Director. On motion by Commissioner Thompson, seconded by Commissioner R. Cleveland, Mrs. ArieSha J. Dents was named Acting Executive Director with a sal</w:t>
      </w:r>
      <w:r w:rsidR="00BD3337">
        <w:rPr>
          <w:rFonts w:ascii="Times New Roman" w:hAnsi="Times New Roman"/>
        </w:rPr>
        <w:t xml:space="preserve">ary of $110,000, all agreed. </w:t>
      </w:r>
    </w:p>
    <w:p w:rsidR="00B93904" w:rsidRDefault="00B93904" w:rsidP="00B9390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Chairman Cleveland thanked Mr. Alario for his years of service and also extended a welcome to Mrs. Dents. Mr. Alario thanked the Commission</w:t>
      </w:r>
      <w:r w:rsidR="00F708B8">
        <w:rPr>
          <w:rFonts w:ascii="Times New Roman" w:hAnsi="Times New Roman"/>
        </w:rPr>
        <w:t xml:space="preserve"> for their support during his tenure as Executive Director of the L.P. Gas Commmission</w:t>
      </w:r>
      <w:r>
        <w:rPr>
          <w:rFonts w:ascii="Times New Roman" w:hAnsi="Times New Roman"/>
        </w:rPr>
        <w:t>.</w:t>
      </w:r>
    </w:p>
    <w:p w:rsidR="006539F6" w:rsidRDefault="002D7154" w:rsidP="00B93904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66DD2"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0E390A">
        <w:rPr>
          <w:rFonts w:ascii="Times New Roman" w:hAnsi="Times New Roman"/>
        </w:rPr>
        <w:t>Commissioner</w:t>
      </w:r>
      <w:r w:rsidR="002F6C41">
        <w:rPr>
          <w:rFonts w:ascii="Times New Roman" w:hAnsi="Times New Roman"/>
        </w:rPr>
        <w:t xml:space="preserve"> </w:t>
      </w:r>
      <w:r w:rsidR="008402D8">
        <w:rPr>
          <w:rFonts w:ascii="Times New Roman" w:hAnsi="Times New Roman"/>
        </w:rPr>
        <w:t>Monlezun</w:t>
      </w:r>
      <w:r w:rsidR="00CF3FE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2D5696">
        <w:rPr>
          <w:rFonts w:ascii="Times New Roman" w:hAnsi="Times New Roman"/>
        </w:rPr>
        <w:t>Commissioner</w:t>
      </w:r>
      <w:r w:rsidR="002F6C41">
        <w:rPr>
          <w:rFonts w:ascii="Times New Roman" w:hAnsi="Times New Roman"/>
        </w:rPr>
        <w:t xml:space="preserve"> </w:t>
      </w:r>
      <w:r w:rsidR="008402D8">
        <w:rPr>
          <w:rFonts w:ascii="Times New Roman" w:hAnsi="Times New Roman"/>
        </w:rPr>
        <w:t>Cleveland</w:t>
      </w:r>
      <w:r w:rsidR="004D421E">
        <w:rPr>
          <w:rFonts w:ascii="Times New Roman" w:hAnsi="Times New Roman"/>
        </w:rPr>
        <w:t>,</w:t>
      </w:r>
      <w:r w:rsidR="00033CCE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6539F6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2E5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2473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3CCE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A4F9C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390A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39A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359A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58B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2F1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3ED7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696"/>
    <w:rsid w:val="002D5FF8"/>
    <w:rsid w:val="002D7154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6C41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4706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1BA1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892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7F9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1C6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56FA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1B21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57EA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21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1850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5E4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C19"/>
    <w:rsid w:val="00557D80"/>
    <w:rsid w:val="00561420"/>
    <w:rsid w:val="00561933"/>
    <w:rsid w:val="00561EAC"/>
    <w:rsid w:val="0056267B"/>
    <w:rsid w:val="00562B3A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2C1"/>
    <w:rsid w:val="00630890"/>
    <w:rsid w:val="00631508"/>
    <w:rsid w:val="00634770"/>
    <w:rsid w:val="00635F97"/>
    <w:rsid w:val="00636A29"/>
    <w:rsid w:val="00636E3B"/>
    <w:rsid w:val="006407E2"/>
    <w:rsid w:val="006472EB"/>
    <w:rsid w:val="00651A04"/>
    <w:rsid w:val="0065223C"/>
    <w:rsid w:val="006539F6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1B12"/>
    <w:rsid w:val="00681BF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3C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0E69"/>
    <w:rsid w:val="006C19FD"/>
    <w:rsid w:val="006C1C70"/>
    <w:rsid w:val="006C2DE7"/>
    <w:rsid w:val="006C3A71"/>
    <w:rsid w:val="006C45D5"/>
    <w:rsid w:val="006C4D24"/>
    <w:rsid w:val="006C4FCE"/>
    <w:rsid w:val="006C765B"/>
    <w:rsid w:val="006C7A65"/>
    <w:rsid w:val="006D02DB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70F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BA4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2C35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97C35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C725F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02D8"/>
    <w:rsid w:val="008426C4"/>
    <w:rsid w:val="00842E89"/>
    <w:rsid w:val="00843BB0"/>
    <w:rsid w:val="00850BD2"/>
    <w:rsid w:val="00851CEC"/>
    <w:rsid w:val="0085274B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2AAF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33BD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2B95"/>
    <w:rsid w:val="00935325"/>
    <w:rsid w:val="00935A1D"/>
    <w:rsid w:val="00936EAB"/>
    <w:rsid w:val="009434C0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314B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96C22"/>
    <w:rsid w:val="009A0EFF"/>
    <w:rsid w:val="009A1CB0"/>
    <w:rsid w:val="009A25CF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2640"/>
    <w:rsid w:val="00A276DE"/>
    <w:rsid w:val="00A30CDF"/>
    <w:rsid w:val="00A31B3D"/>
    <w:rsid w:val="00A31B85"/>
    <w:rsid w:val="00A32041"/>
    <w:rsid w:val="00A32F94"/>
    <w:rsid w:val="00A34134"/>
    <w:rsid w:val="00A37473"/>
    <w:rsid w:val="00A41A57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2287"/>
    <w:rsid w:val="00A935F3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643"/>
    <w:rsid w:val="00AA175D"/>
    <w:rsid w:val="00AA1BE1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106C"/>
    <w:rsid w:val="00B42684"/>
    <w:rsid w:val="00B42933"/>
    <w:rsid w:val="00B43847"/>
    <w:rsid w:val="00B45CE2"/>
    <w:rsid w:val="00B51CCF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904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3337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472D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D07"/>
    <w:rsid w:val="00C15F7A"/>
    <w:rsid w:val="00C16326"/>
    <w:rsid w:val="00C1798D"/>
    <w:rsid w:val="00C2090B"/>
    <w:rsid w:val="00C2178B"/>
    <w:rsid w:val="00C21F22"/>
    <w:rsid w:val="00C2263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232"/>
    <w:rsid w:val="00C41AF8"/>
    <w:rsid w:val="00C421E7"/>
    <w:rsid w:val="00C437EA"/>
    <w:rsid w:val="00C43C61"/>
    <w:rsid w:val="00C4642F"/>
    <w:rsid w:val="00C474B4"/>
    <w:rsid w:val="00C5074D"/>
    <w:rsid w:val="00C53EDF"/>
    <w:rsid w:val="00C5451C"/>
    <w:rsid w:val="00C551FD"/>
    <w:rsid w:val="00C55BB3"/>
    <w:rsid w:val="00C55FA6"/>
    <w:rsid w:val="00C56E37"/>
    <w:rsid w:val="00C56E80"/>
    <w:rsid w:val="00C57465"/>
    <w:rsid w:val="00C61B01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2DE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0A3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3FE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67E6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0FD9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5731B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3B95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3D89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51B9"/>
    <w:rsid w:val="00F0755A"/>
    <w:rsid w:val="00F07A77"/>
    <w:rsid w:val="00F10DB2"/>
    <w:rsid w:val="00F11BB4"/>
    <w:rsid w:val="00F11C88"/>
    <w:rsid w:val="00F12D51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75C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08B8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D4AD5"/>
    <w:rsid w:val="00FD6494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902"/>
    <w:rsid w:val="00FF6BB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4DF559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9E36-DE2A-45F0-9D8D-0FF793E7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2023-03-29T14:53:00Z</cp:lastPrinted>
  <dcterms:created xsi:type="dcterms:W3CDTF">2023-03-30T13:30:00Z</dcterms:created>
  <dcterms:modified xsi:type="dcterms:W3CDTF">2023-03-30T13:30:00Z</dcterms:modified>
</cp:coreProperties>
</file>