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JULY 8, 2014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Coushatta, Louisiana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Board of Commissioners of the Red River Levee &amp; Drainage District met this day in regular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session with the following Commissioners present: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Milton Forrest, Robert Burleson, Marian Anderson, Daniel Cason, and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.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On motion of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, seconded by Marian Anderson, the following resolution was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unanimously adopted: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RESOLUTION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BE IT RESOLVED, that the following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millages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 xml:space="preserve"> are hereby levied on the 2014 tax roll on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all property subject to taxation by the Red River Levee &amp; Drainage District.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MILLAGE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For the year 2014 a tax of 4.55 mills on the dollar of its assessed evaluation of all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property within the Red River Levee &amp; Drainage District of Louisiana and a local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assessment or forced contribution for the year 2014 of $.05 on each and every acre of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land within said Red River Levee &amp; Drainage District and $60.00 per mile of railroad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track within said Red River Levee &amp; Drainage District.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BE IT FURTHER RESOLVED that the proper administrative officials of the Parishes of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Red River and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DeSoto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, State of Louisiana, be and they are hereby empowered, authorized and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directed to spread said taxes, as hereinabove set forth, upon the assessment roll of said Parishes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for the year 2014 and to make the collection of the taxes imposed for and on behalf of the taxing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authority, according to law, and that the taxes herein levied shall become a permanent lien and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privilege on all property subject to taxation as herein set forth, and collection thereof shall be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enforceable in the manner provided by law.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foregoing resolution was. read in full, the roll was called on the adoption thereof, and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resolution was adopted by the following votes: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  <w:r>
        <w:rPr>
          <w:rFonts w:ascii="Courier" w:hAnsi="Courier" w:cs="Courier"/>
          <w:color w:val="545454"/>
          <w:sz w:val="27"/>
          <w:szCs w:val="27"/>
        </w:rPr>
        <w:t>YEAS: 4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  <w:r>
        <w:rPr>
          <w:rFonts w:ascii="Courier" w:hAnsi="Courier" w:cs="Courier"/>
          <w:color w:val="545454"/>
          <w:sz w:val="27"/>
          <w:szCs w:val="27"/>
        </w:rPr>
        <w:t>NAYS: 0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  <w:r>
        <w:rPr>
          <w:rFonts w:ascii="Courier" w:hAnsi="Courier" w:cs="Courier"/>
          <w:color w:val="545454"/>
          <w:sz w:val="27"/>
          <w:szCs w:val="27"/>
        </w:rPr>
        <w:t>ABSTAINED: 0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  <w:r>
        <w:rPr>
          <w:rFonts w:ascii="Courier" w:hAnsi="Courier" w:cs="Courier"/>
          <w:color w:val="545454"/>
          <w:sz w:val="27"/>
          <w:szCs w:val="27"/>
        </w:rPr>
        <w:t>ABSENT: 0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545454"/>
          <w:sz w:val="27"/>
          <w:szCs w:val="27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lastRenderedPageBreak/>
        <w:t>The minutes were approved for the previous meeting.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>The current bills were presented and the Secretary was authorized to pay.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>There being no further business to come before the Board on proper motion duly seconded, the</w:t>
      </w:r>
      <w:r>
        <w:rPr>
          <w:rFonts w:ascii="Times New Roman" w:hAnsi="Times New Roman" w:cs="Times New Roman"/>
          <w:color w:val="54545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545454"/>
          <w:sz w:val="25"/>
          <w:szCs w:val="25"/>
        </w:rPr>
        <w:t>meeting was adjourned. The next regular meeting of the Board of Commissioners of the Red</w:t>
      </w:r>
      <w:r>
        <w:rPr>
          <w:rFonts w:ascii="Times New Roman" w:hAnsi="Times New Roman" w:cs="Times New Roman"/>
          <w:color w:val="54545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545454"/>
          <w:sz w:val="25"/>
          <w:szCs w:val="25"/>
        </w:rPr>
        <w:t>River Levee &amp; Drainage District will be held on August 12, 2013 at 4:30 P.M. 620 Rush Street,</w:t>
      </w:r>
      <w:r>
        <w:rPr>
          <w:rFonts w:ascii="Times New Roman" w:hAnsi="Times New Roman" w:cs="Times New Roman"/>
          <w:color w:val="545454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545454"/>
          <w:sz w:val="25"/>
          <w:szCs w:val="25"/>
        </w:rPr>
        <w:t>Coushatta, Louisiana.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5"/>
          <w:szCs w:val="25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5"/>
          <w:szCs w:val="25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>MILTON R. FORREST, PRESIDENT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5"/>
          <w:szCs w:val="25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5"/>
          <w:szCs w:val="25"/>
        </w:rPr>
      </w:pPr>
      <w:r>
        <w:rPr>
          <w:rFonts w:ascii="Times New Roman" w:hAnsi="Times New Roman" w:cs="Times New Roman"/>
          <w:color w:val="545454"/>
          <w:sz w:val="25"/>
          <w:szCs w:val="25"/>
        </w:rPr>
        <w:t>ELLEN G. MOORE, SECRETARY</w:t>
      </w: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2E35A6" w:rsidRDefault="002E35A6" w:rsidP="002E3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C216A3" w:rsidRDefault="00C216A3"/>
    <w:sectPr w:rsidR="00C2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6"/>
    <w:rsid w:val="002E35A6"/>
    <w:rsid w:val="00C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46B22-385E-44F5-AC28-1B8D0480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1</cp:revision>
  <dcterms:created xsi:type="dcterms:W3CDTF">2015-04-17T19:29:00Z</dcterms:created>
  <dcterms:modified xsi:type="dcterms:W3CDTF">2015-04-17T19:30:00Z</dcterms:modified>
</cp:coreProperties>
</file>