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89" w:rsidRDefault="00877389" w:rsidP="00DC1DA3">
      <w:pPr>
        <w:jc w:val="center"/>
        <w:rPr>
          <w:rFonts w:ascii="Times New Roman" w:hAnsi="Times New Roman"/>
          <w:b/>
          <w:u w:val="single"/>
        </w:rPr>
      </w:pPr>
      <w:bookmarkStart w:id="0" w:name="_GoBack"/>
      <w:bookmarkEnd w:id="0"/>
      <w:r>
        <w:rPr>
          <w:rFonts w:ascii="Times New Roman" w:hAnsi="Times New Roman"/>
          <w:b/>
          <w:u w:val="single"/>
        </w:rPr>
        <w:t>CDBG-CV HVAC Program Guidelines</w:t>
      </w:r>
    </w:p>
    <w:p w:rsidR="00877389" w:rsidRDefault="00877389" w:rsidP="00DC1DA3">
      <w:pPr>
        <w:jc w:val="center"/>
        <w:rPr>
          <w:rFonts w:ascii="Times New Roman" w:hAnsi="Times New Roman"/>
          <w:b/>
        </w:rPr>
      </w:pPr>
    </w:p>
    <w:p w:rsidR="004D5637" w:rsidRPr="00877389" w:rsidRDefault="00BF00CF" w:rsidP="00DC1DA3">
      <w:pPr>
        <w:jc w:val="center"/>
        <w:rPr>
          <w:rFonts w:ascii="Times New Roman" w:hAnsi="Times New Roman"/>
          <w:b/>
        </w:rPr>
      </w:pPr>
      <w:r w:rsidRPr="00877389">
        <w:rPr>
          <w:rFonts w:ascii="Times New Roman" w:hAnsi="Times New Roman"/>
          <w:b/>
        </w:rPr>
        <w:t>HVAC Upgrades to Prevent the Spread of COVID-19 in Community Facilities</w:t>
      </w:r>
    </w:p>
    <w:p w:rsidR="007408F7" w:rsidRDefault="007408F7">
      <w:pPr>
        <w:rPr>
          <w:rFonts w:ascii="Times New Roman" w:hAnsi="Times New Roman"/>
        </w:rPr>
      </w:pPr>
    </w:p>
    <w:p w:rsidR="007408F7" w:rsidRDefault="007408F7">
      <w:pPr>
        <w:rPr>
          <w:rFonts w:ascii="Times New Roman" w:hAnsi="Times New Roman"/>
        </w:rPr>
      </w:pPr>
      <w:r>
        <w:rPr>
          <w:rFonts w:ascii="Times New Roman" w:hAnsi="Times New Roman"/>
        </w:rPr>
        <w:t>Due to the pandemic, local government entities are having to take actions to prevent the spread of COVID-19.  In the CARES Act, HUD was allocated funding to prevent, prepare</w:t>
      </w:r>
      <w:r w:rsidR="00A2691E">
        <w:rPr>
          <w:rFonts w:ascii="Times New Roman" w:hAnsi="Times New Roman"/>
        </w:rPr>
        <w:t xml:space="preserve"> for</w:t>
      </w:r>
      <w:r>
        <w:rPr>
          <w:rFonts w:ascii="Times New Roman" w:hAnsi="Times New Roman"/>
        </w:rPr>
        <w:t>, and respond to the virus.  From that funding, the State of Louisiana has been appropriated $</w:t>
      </w:r>
      <w:r w:rsidR="004A11F9">
        <w:rPr>
          <w:rFonts w:ascii="Times New Roman" w:hAnsi="Times New Roman"/>
        </w:rPr>
        <w:t>44,336,196</w:t>
      </w:r>
      <w:r>
        <w:rPr>
          <w:rFonts w:ascii="Times New Roman" w:hAnsi="Times New Roman"/>
        </w:rPr>
        <w:t xml:space="preserve">.  </w:t>
      </w:r>
      <w:r w:rsidR="00045AA5">
        <w:rPr>
          <w:rFonts w:ascii="Times New Roman" w:hAnsi="Times New Roman"/>
        </w:rPr>
        <w:t xml:space="preserve">Of that amount, </w:t>
      </w:r>
      <w:r w:rsidR="00B1025C">
        <w:rPr>
          <w:rFonts w:ascii="Times New Roman" w:hAnsi="Times New Roman"/>
        </w:rPr>
        <w:t>the Office of Community Development (OCD)</w:t>
      </w:r>
      <w:r w:rsidR="00045AA5">
        <w:rPr>
          <w:rFonts w:ascii="Times New Roman" w:hAnsi="Times New Roman"/>
        </w:rPr>
        <w:t xml:space="preserve"> has allocated $</w:t>
      </w:r>
      <w:r w:rsidR="004A11F9">
        <w:rPr>
          <w:rFonts w:ascii="Times New Roman" w:hAnsi="Times New Roman"/>
        </w:rPr>
        <w:t>31,000,000</w:t>
      </w:r>
      <w:r w:rsidR="00045AA5">
        <w:rPr>
          <w:rFonts w:ascii="Times New Roman" w:hAnsi="Times New Roman"/>
        </w:rPr>
        <w:t xml:space="preserve"> for u</w:t>
      </w:r>
      <w:r>
        <w:rPr>
          <w:rFonts w:ascii="Times New Roman" w:hAnsi="Times New Roman"/>
        </w:rPr>
        <w:t xml:space="preserve">pgrades </w:t>
      </w:r>
      <w:r w:rsidR="00045AA5">
        <w:rPr>
          <w:rFonts w:ascii="Times New Roman" w:hAnsi="Times New Roman"/>
        </w:rPr>
        <w:t xml:space="preserve">to HVAC and ventilation systems.  According to the CDC, upgrades/modifications to HVAC systems </w:t>
      </w:r>
      <w:r>
        <w:rPr>
          <w:rFonts w:ascii="Times New Roman" w:hAnsi="Times New Roman"/>
        </w:rPr>
        <w:t xml:space="preserve">can improve air quality and minimize the spread of airborne infectious diseases.  </w:t>
      </w:r>
      <w:r w:rsidR="003A1F0A">
        <w:rPr>
          <w:rFonts w:ascii="Times New Roman" w:hAnsi="Times New Roman"/>
        </w:rPr>
        <w:t>T</w:t>
      </w:r>
      <w:r>
        <w:rPr>
          <w:rFonts w:ascii="Times New Roman" w:hAnsi="Times New Roman"/>
        </w:rPr>
        <w:t>o assist local governments with funding for the response to the pandemic</w:t>
      </w:r>
      <w:r w:rsidRPr="00BD77C0">
        <w:rPr>
          <w:rFonts w:ascii="Times New Roman" w:hAnsi="Times New Roman"/>
        </w:rPr>
        <w:t>,</w:t>
      </w:r>
      <w:r>
        <w:rPr>
          <w:rFonts w:ascii="Times New Roman" w:hAnsi="Times New Roman"/>
        </w:rPr>
        <w:t xml:space="preserve"> OCD is accepting applications from units of general local government for projects to upgrade/modify HVAC and ventilation systems </w:t>
      </w:r>
      <w:r w:rsidR="00B1025C" w:rsidRPr="004A11F9">
        <w:rPr>
          <w:rFonts w:ascii="Times New Roman" w:hAnsi="Times New Roman"/>
        </w:rPr>
        <w:t xml:space="preserve">in CDBG–eligible publicly-owned community facilities </w:t>
      </w:r>
      <w:r w:rsidRPr="004A11F9">
        <w:rPr>
          <w:rFonts w:ascii="Times New Roman" w:hAnsi="Times New Roman"/>
        </w:rPr>
        <w:t xml:space="preserve">in an effort to reduce the spread of the virus.  </w:t>
      </w:r>
      <w:r w:rsidR="00186C13" w:rsidRPr="004A11F9">
        <w:rPr>
          <w:rFonts w:ascii="Times New Roman" w:hAnsi="Times New Roman"/>
        </w:rPr>
        <w:t>All approved facilities must be a CDBG-eligible public facility and</w:t>
      </w:r>
      <w:r w:rsidR="00186C13">
        <w:rPr>
          <w:rFonts w:ascii="Times New Roman" w:hAnsi="Times New Roman"/>
        </w:rPr>
        <w:t xml:space="preserve"> meet a national objective, as described below.  </w:t>
      </w:r>
      <w:r w:rsidR="00045AA5">
        <w:rPr>
          <w:rFonts w:ascii="Times New Roman" w:hAnsi="Times New Roman"/>
        </w:rPr>
        <w:t xml:space="preserve">Applications will be accepted on a first come, first served basis until </w:t>
      </w:r>
      <w:r w:rsidR="004A11F9">
        <w:rPr>
          <w:rFonts w:ascii="Times New Roman" w:hAnsi="Times New Roman"/>
        </w:rPr>
        <w:t>July 9, 2020</w:t>
      </w:r>
      <w:r w:rsidR="00A2691E">
        <w:rPr>
          <w:rFonts w:ascii="Times New Roman" w:hAnsi="Times New Roman"/>
        </w:rPr>
        <w:t>,</w:t>
      </w:r>
      <w:r w:rsidR="00045AA5">
        <w:rPr>
          <w:rFonts w:ascii="Times New Roman" w:hAnsi="Times New Roman"/>
        </w:rPr>
        <w:t xml:space="preserve"> or until all funds have been obligated. </w:t>
      </w:r>
      <w:r w:rsidR="00B1025C">
        <w:rPr>
          <w:rFonts w:ascii="Times New Roman" w:hAnsi="Times New Roman"/>
        </w:rPr>
        <w:t xml:space="preserve">  The availability and use of these funds is subject to the U.S. Department of Housing and Urban </w:t>
      </w:r>
      <w:r w:rsidR="00B1025C" w:rsidRPr="004A11F9">
        <w:rPr>
          <w:rFonts w:ascii="Times New Roman" w:hAnsi="Times New Roman"/>
        </w:rPr>
        <w:t>Development’s (</w:t>
      </w:r>
      <w:r w:rsidR="00B1025C">
        <w:rPr>
          <w:rFonts w:ascii="Times New Roman" w:hAnsi="Times New Roman"/>
        </w:rPr>
        <w:t xml:space="preserve">HUD) </w:t>
      </w:r>
      <w:r w:rsidR="004A11F9">
        <w:rPr>
          <w:rFonts w:ascii="Times New Roman" w:hAnsi="Times New Roman"/>
        </w:rPr>
        <w:t xml:space="preserve">requirements </w:t>
      </w:r>
      <w:r w:rsidR="00B1025C">
        <w:rPr>
          <w:rFonts w:ascii="Times New Roman" w:hAnsi="Times New Roman"/>
        </w:rPr>
        <w:t>pursuant to CDBG Subpart I of Title 24 Part 570 of the Code of Federal Regulations and Federal Register Notice Vol. 85 No. 162 August 20, 2020.</w:t>
      </w:r>
    </w:p>
    <w:p w:rsidR="00B1025C" w:rsidRDefault="00B1025C">
      <w:pPr>
        <w:rPr>
          <w:rFonts w:ascii="Times New Roman" w:hAnsi="Times New Roman"/>
        </w:rPr>
      </w:pPr>
    </w:p>
    <w:p w:rsidR="00B1025C" w:rsidRDefault="00B1025C">
      <w:pPr>
        <w:rPr>
          <w:rFonts w:ascii="Times New Roman" w:hAnsi="Times New Roman"/>
        </w:rPr>
      </w:pPr>
      <w:r w:rsidRPr="00CF553E">
        <w:rPr>
          <w:rFonts w:ascii="Times New Roman" w:hAnsi="Times New Roman"/>
          <w:b/>
        </w:rPr>
        <w:t>Eligible Applicants</w:t>
      </w:r>
      <w:r>
        <w:rPr>
          <w:rFonts w:ascii="Times New Roman" w:hAnsi="Times New Roman"/>
        </w:rPr>
        <w:t xml:space="preserve">:  A </w:t>
      </w:r>
      <w:r w:rsidR="00063752">
        <w:rPr>
          <w:rFonts w:ascii="Times New Roman" w:hAnsi="Times New Roman"/>
        </w:rPr>
        <w:t xml:space="preserve">Louisiana </w:t>
      </w:r>
      <w:r>
        <w:rPr>
          <w:rFonts w:ascii="Times New Roman" w:hAnsi="Times New Roman"/>
        </w:rPr>
        <w:t>unit of general local government</w:t>
      </w:r>
      <w:r w:rsidR="00063752">
        <w:rPr>
          <w:rFonts w:ascii="Times New Roman" w:hAnsi="Times New Roman"/>
        </w:rPr>
        <w:t xml:space="preserve"> (UGLG)</w:t>
      </w:r>
      <w:r w:rsidR="00820630">
        <w:rPr>
          <w:rFonts w:ascii="Times New Roman" w:hAnsi="Times New Roman"/>
        </w:rPr>
        <w:t xml:space="preserve"> as defined in section 102(a)(1) of the HCDA</w:t>
      </w:r>
      <w:r>
        <w:rPr>
          <w:rFonts w:ascii="Times New Roman" w:hAnsi="Times New Roman"/>
        </w:rPr>
        <w:t>.</w:t>
      </w:r>
      <w:r w:rsidR="00CF553E">
        <w:rPr>
          <w:rFonts w:ascii="Times New Roman" w:hAnsi="Times New Roman"/>
        </w:rPr>
        <w:t xml:space="preserve">  All applicants are required to have a DUNS number that is actively registered in the System for Award Management (SAM.gov).</w:t>
      </w:r>
      <w:r w:rsidR="00820630">
        <w:rPr>
          <w:rFonts w:ascii="Times New Roman" w:hAnsi="Times New Roman"/>
        </w:rPr>
        <w:t xml:space="preserve"> </w:t>
      </w:r>
    </w:p>
    <w:p w:rsidR="00AC407C" w:rsidRDefault="00AC407C">
      <w:pPr>
        <w:rPr>
          <w:rFonts w:ascii="Times New Roman" w:hAnsi="Times New Roman"/>
        </w:rPr>
      </w:pPr>
    </w:p>
    <w:p w:rsidR="00AC407C" w:rsidRDefault="00AC407C">
      <w:pPr>
        <w:rPr>
          <w:rFonts w:ascii="Times New Roman" w:hAnsi="Times New Roman"/>
        </w:rPr>
      </w:pPr>
      <w:r w:rsidRPr="001108DB">
        <w:rPr>
          <w:rFonts w:ascii="Times New Roman" w:hAnsi="Times New Roman"/>
          <w:b/>
        </w:rPr>
        <w:t>Eligible Activities</w:t>
      </w:r>
      <w:r>
        <w:rPr>
          <w:rFonts w:ascii="Times New Roman" w:hAnsi="Times New Roman"/>
        </w:rPr>
        <w:t>:  The following activities are eligible under this program:</w:t>
      </w:r>
    </w:p>
    <w:p w:rsidR="00AC407C" w:rsidRDefault="00AC407C" w:rsidP="00AC407C">
      <w:pPr>
        <w:pStyle w:val="ListParagraph"/>
        <w:numPr>
          <w:ilvl w:val="0"/>
          <w:numId w:val="4"/>
        </w:numPr>
        <w:rPr>
          <w:rFonts w:ascii="Times New Roman" w:hAnsi="Times New Roman"/>
        </w:rPr>
      </w:pPr>
      <w:r>
        <w:rPr>
          <w:rFonts w:ascii="Times New Roman" w:hAnsi="Times New Roman"/>
        </w:rPr>
        <w:t xml:space="preserve">Public Facilities Improvements – Section 105(a)(2) </w:t>
      </w:r>
    </w:p>
    <w:p w:rsidR="00186C13" w:rsidRDefault="00427CCA" w:rsidP="00186C13">
      <w:pPr>
        <w:pStyle w:val="ListParagraph"/>
        <w:numPr>
          <w:ilvl w:val="1"/>
          <w:numId w:val="4"/>
        </w:numPr>
        <w:rPr>
          <w:rFonts w:ascii="Times New Roman" w:hAnsi="Times New Roman"/>
        </w:rPr>
      </w:pPr>
      <w:r>
        <w:rPr>
          <w:rFonts w:ascii="Times New Roman" w:hAnsi="Times New Roman"/>
        </w:rPr>
        <w:t xml:space="preserve">HVAC improvements to </w:t>
      </w:r>
      <w:r w:rsidR="00186C13">
        <w:rPr>
          <w:rFonts w:ascii="Times New Roman" w:hAnsi="Times New Roman"/>
        </w:rPr>
        <w:t xml:space="preserve">publicly-owned </w:t>
      </w:r>
      <w:r>
        <w:rPr>
          <w:rFonts w:ascii="Times New Roman" w:hAnsi="Times New Roman"/>
        </w:rPr>
        <w:t xml:space="preserve">facilities meeting CDBG eligibility requirements in an effort to reduce the spread </w:t>
      </w:r>
      <w:r w:rsidRPr="004A11F9">
        <w:rPr>
          <w:rFonts w:ascii="Times New Roman" w:hAnsi="Times New Roman"/>
        </w:rPr>
        <w:t xml:space="preserve">of </w:t>
      </w:r>
      <w:r w:rsidR="003A1F0A" w:rsidRPr="004A11F9">
        <w:rPr>
          <w:rFonts w:ascii="Times New Roman" w:hAnsi="Times New Roman"/>
        </w:rPr>
        <w:t>infectious</w:t>
      </w:r>
      <w:r w:rsidR="003A1F0A">
        <w:rPr>
          <w:rFonts w:ascii="Times New Roman" w:hAnsi="Times New Roman"/>
        </w:rPr>
        <w:t xml:space="preserve"> </w:t>
      </w:r>
      <w:r>
        <w:rPr>
          <w:rFonts w:ascii="Times New Roman" w:hAnsi="Times New Roman"/>
        </w:rPr>
        <w:t>disease.</w:t>
      </w:r>
    </w:p>
    <w:p w:rsidR="00186C13" w:rsidRDefault="00186C13" w:rsidP="00186C13">
      <w:pPr>
        <w:pStyle w:val="ListParagraph"/>
        <w:numPr>
          <w:ilvl w:val="1"/>
          <w:numId w:val="4"/>
        </w:numPr>
        <w:rPr>
          <w:rFonts w:ascii="Times New Roman" w:hAnsi="Times New Roman"/>
        </w:rPr>
      </w:pPr>
      <w:r>
        <w:rPr>
          <w:rFonts w:ascii="Times New Roman" w:hAnsi="Times New Roman"/>
        </w:rPr>
        <w:t>Nonexclusive list of eligible community facilities:  public school, library, community center, recreation center, homeless shelter, group home for disabled, domestic violence shelter, nursing home, health unit, police/sheriff substation, fire station, senior center</w:t>
      </w:r>
      <w:r w:rsidR="001F562D">
        <w:rPr>
          <w:rFonts w:ascii="Times New Roman" w:hAnsi="Times New Roman"/>
        </w:rPr>
        <w:t>, jails</w:t>
      </w:r>
      <w:r>
        <w:rPr>
          <w:rFonts w:ascii="Times New Roman" w:hAnsi="Times New Roman"/>
        </w:rPr>
        <w:t xml:space="preserve">.  </w:t>
      </w:r>
    </w:p>
    <w:p w:rsidR="001F562D" w:rsidRDefault="001F562D" w:rsidP="00186C13">
      <w:pPr>
        <w:pStyle w:val="ListParagraph"/>
        <w:numPr>
          <w:ilvl w:val="1"/>
          <w:numId w:val="4"/>
        </w:numPr>
        <w:rPr>
          <w:rFonts w:ascii="Times New Roman" w:hAnsi="Times New Roman"/>
        </w:rPr>
      </w:pPr>
      <w:r>
        <w:rPr>
          <w:rFonts w:ascii="Times New Roman" w:hAnsi="Times New Roman"/>
        </w:rPr>
        <w:t>A facility otherwise eligible for assistance under the CDBG program may be assisted with CDBG funds even if it is part of a multiple use building containing ineligible uses, if:</w:t>
      </w:r>
    </w:p>
    <w:p w:rsidR="001F562D" w:rsidRDefault="001F562D" w:rsidP="001F562D">
      <w:pPr>
        <w:pStyle w:val="ListParagraph"/>
        <w:numPr>
          <w:ilvl w:val="2"/>
          <w:numId w:val="4"/>
        </w:numPr>
        <w:rPr>
          <w:rFonts w:ascii="Times New Roman" w:hAnsi="Times New Roman"/>
        </w:rPr>
      </w:pPr>
      <w:r>
        <w:rPr>
          <w:rFonts w:ascii="Times New Roman" w:hAnsi="Times New Roman"/>
        </w:rPr>
        <w:t>The public portion of the facility that is otherwise eligible and proposed for assistance will occupy a designated and discrete area within the larger facility; and</w:t>
      </w:r>
    </w:p>
    <w:p w:rsidR="001F562D" w:rsidRDefault="001F562D" w:rsidP="001F562D">
      <w:pPr>
        <w:pStyle w:val="ListParagraph"/>
        <w:numPr>
          <w:ilvl w:val="2"/>
          <w:numId w:val="4"/>
        </w:numPr>
        <w:rPr>
          <w:rFonts w:ascii="Times New Roman" w:hAnsi="Times New Roman"/>
        </w:rPr>
      </w:pPr>
      <w:r>
        <w:rPr>
          <w:rFonts w:ascii="Times New Roman" w:hAnsi="Times New Roman"/>
        </w:rPr>
        <w:t>OCD can determine the costs attributable to the facility proposed for assistance as separate and distinct from the overall costs of the multiple-use facility.  Allowable costs are limited to those attributable to the eligible portion of the facility.</w:t>
      </w:r>
    </w:p>
    <w:p w:rsidR="00427CCA" w:rsidRDefault="00427CCA" w:rsidP="00427CCA">
      <w:pPr>
        <w:pStyle w:val="ListParagraph"/>
        <w:numPr>
          <w:ilvl w:val="0"/>
          <w:numId w:val="4"/>
        </w:numPr>
        <w:rPr>
          <w:rFonts w:ascii="Times New Roman" w:hAnsi="Times New Roman"/>
        </w:rPr>
      </w:pPr>
      <w:r>
        <w:rPr>
          <w:rFonts w:ascii="Times New Roman" w:hAnsi="Times New Roman"/>
        </w:rPr>
        <w:t>Administration – Section 105(a)(12)</w:t>
      </w:r>
    </w:p>
    <w:p w:rsidR="00427CCA" w:rsidRDefault="00427CCA" w:rsidP="00427CCA">
      <w:pPr>
        <w:pStyle w:val="ListParagraph"/>
        <w:numPr>
          <w:ilvl w:val="1"/>
          <w:numId w:val="4"/>
        </w:numPr>
        <w:rPr>
          <w:rFonts w:ascii="Times New Roman" w:hAnsi="Times New Roman"/>
        </w:rPr>
      </w:pPr>
      <w:r>
        <w:rPr>
          <w:rFonts w:ascii="Times New Roman" w:hAnsi="Times New Roman"/>
        </w:rPr>
        <w:t>Administration activities to implement a specific CDBG-assisted project</w:t>
      </w:r>
    </w:p>
    <w:p w:rsidR="00F53CCA" w:rsidRPr="001F562D" w:rsidRDefault="00F53CCA" w:rsidP="001F562D">
      <w:pPr>
        <w:ind w:left="720"/>
        <w:rPr>
          <w:rFonts w:ascii="Times New Roman" w:hAnsi="Times New Roman"/>
        </w:rPr>
      </w:pPr>
    </w:p>
    <w:p w:rsidR="001F562D" w:rsidRDefault="001F562D" w:rsidP="004A11F9">
      <w:pPr>
        <w:keepLines/>
      </w:pPr>
      <w:r w:rsidRPr="001F562D">
        <w:rPr>
          <w:rFonts w:ascii="Times New Roman" w:hAnsi="Times New Roman"/>
          <w:b/>
        </w:rPr>
        <w:t>Ineligible Facilities</w:t>
      </w:r>
      <w:r>
        <w:rPr>
          <w:rFonts w:ascii="Times New Roman" w:hAnsi="Times New Roman"/>
        </w:rPr>
        <w:t xml:space="preserve">:  Buildings used for the general conduct of government are ineligible.  Further information regarding this </w:t>
      </w:r>
      <w:r w:rsidR="00BA033A">
        <w:rPr>
          <w:rFonts w:ascii="Times New Roman" w:hAnsi="Times New Roman"/>
        </w:rPr>
        <w:t>prohibition</w:t>
      </w:r>
      <w:r>
        <w:rPr>
          <w:rFonts w:ascii="Times New Roman" w:hAnsi="Times New Roman"/>
        </w:rPr>
        <w:t xml:space="preserve"> can be found at </w:t>
      </w:r>
      <w:hyperlink r:id="rId6" w:history="1">
        <w:r w:rsidRPr="001F562D">
          <w:rPr>
            <w:rStyle w:val="Hyperlink"/>
            <w:u w:val="none"/>
          </w:rPr>
          <w:t>https://files.hudexchange.info/resources/documents/CDBG-Memorandum-Definition-of-Building-for-General-Conduct-Government.pdf</w:t>
        </w:r>
      </w:hyperlink>
      <w:r w:rsidRPr="001F562D">
        <w:t xml:space="preserve"> .</w:t>
      </w:r>
    </w:p>
    <w:p w:rsidR="001F562D" w:rsidRPr="001F562D" w:rsidRDefault="001F562D" w:rsidP="00427CCA">
      <w:pPr>
        <w:rPr>
          <w:rFonts w:ascii="Times New Roman" w:hAnsi="Times New Roman"/>
        </w:rPr>
      </w:pPr>
    </w:p>
    <w:p w:rsidR="00427CCA" w:rsidRDefault="00427CCA" w:rsidP="00427CCA">
      <w:pPr>
        <w:rPr>
          <w:rFonts w:ascii="Times New Roman" w:hAnsi="Times New Roman"/>
        </w:rPr>
      </w:pPr>
      <w:r w:rsidRPr="001108DB">
        <w:rPr>
          <w:rFonts w:ascii="Times New Roman" w:hAnsi="Times New Roman"/>
          <w:b/>
        </w:rPr>
        <w:t>National objective</w:t>
      </w:r>
      <w:r>
        <w:rPr>
          <w:rFonts w:ascii="Times New Roman" w:hAnsi="Times New Roman"/>
        </w:rPr>
        <w:t xml:space="preserve">:  All applications must identify the national objective being addressed by the proposed improvements for each community facility as required by CDBG regulations </w:t>
      </w:r>
      <w:r w:rsidR="009F0E0E">
        <w:rPr>
          <w:rFonts w:ascii="Times New Roman" w:hAnsi="Times New Roman"/>
        </w:rPr>
        <w:t>(24 CFR 570.</w:t>
      </w:r>
      <w:r w:rsidR="005079A9">
        <w:rPr>
          <w:rFonts w:ascii="Times New Roman" w:hAnsi="Times New Roman"/>
        </w:rPr>
        <w:t>483</w:t>
      </w:r>
      <w:r w:rsidR="00FE6C11">
        <w:rPr>
          <w:rFonts w:ascii="Times New Roman" w:hAnsi="Times New Roman"/>
        </w:rPr>
        <w:t>).</w:t>
      </w:r>
      <w:r w:rsidR="009F0E0E">
        <w:rPr>
          <w:rFonts w:ascii="Times New Roman" w:hAnsi="Times New Roman"/>
        </w:rPr>
        <w:t xml:space="preserve">  </w:t>
      </w:r>
      <w:r w:rsidR="004F21D2">
        <w:rPr>
          <w:rFonts w:ascii="Times New Roman" w:hAnsi="Times New Roman"/>
        </w:rPr>
        <w:t>Facilities proposed for HVAC improvements must primarily (51%) benefit low/moderate income persons.  Acceptable methods of compliance are as follows:</w:t>
      </w:r>
    </w:p>
    <w:p w:rsidR="009F0E0E" w:rsidRDefault="004F21D2" w:rsidP="004F21D2">
      <w:pPr>
        <w:pStyle w:val="ListParagraph"/>
        <w:numPr>
          <w:ilvl w:val="0"/>
          <w:numId w:val="5"/>
        </w:numPr>
        <w:rPr>
          <w:rFonts w:ascii="Times New Roman" w:hAnsi="Times New Roman"/>
        </w:rPr>
      </w:pPr>
      <w:r>
        <w:rPr>
          <w:rFonts w:ascii="Times New Roman" w:hAnsi="Times New Roman"/>
        </w:rPr>
        <w:t>A</w:t>
      </w:r>
      <w:r w:rsidR="009F0E0E">
        <w:rPr>
          <w:rFonts w:ascii="Times New Roman" w:hAnsi="Times New Roman"/>
        </w:rPr>
        <w:t xml:space="preserve">rea Benefit – </w:t>
      </w:r>
      <w:r>
        <w:rPr>
          <w:rFonts w:ascii="Times New Roman" w:hAnsi="Times New Roman"/>
        </w:rPr>
        <w:t>51% or more of the p</w:t>
      </w:r>
      <w:r w:rsidR="009F0E0E">
        <w:rPr>
          <w:rFonts w:ascii="Times New Roman" w:hAnsi="Times New Roman"/>
        </w:rPr>
        <w:t xml:space="preserve">ersons included in identified facility service area </w:t>
      </w:r>
      <w:r>
        <w:rPr>
          <w:rFonts w:ascii="Times New Roman" w:hAnsi="Times New Roman"/>
        </w:rPr>
        <w:t>are</w:t>
      </w:r>
      <w:r w:rsidR="009F0E0E">
        <w:rPr>
          <w:rFonts w:ascii="Times New Roman" w:hAnsi="Times New Roman"/>
        </w:rPr>
        <w:t xml:space="preserve"> </w:t>
      </w:r>
      <w:r>
        <w:rPr>
          <w:rFonts w:ascii="Times New Roman" w:hAnsi="Times New Roman"/>
        </w:rPr>
        <w:t xml:space="preserve">of low/moderate income </w:t>
      </w:r>
      <w:r w:rsidR="009F0E0E">
        <w:rPr>
          <w:rFonts w:ascii="Times New Roman" w:hAnsi="Times New Roman"/>
        </w:rPr>
        <w:t>based on HUD Summary Data</w:t>
      </w:r>
      <w:r>
        <w:rPr>
          <w:rFonts w:ascii="Times New Roman" w:hAnsi="Times New Roman"/>
        </w:rPr>
        <w:t xml:space="preserve"> or approved household survey documentation</w:t>
      </w:r>
    </w:p>
    <w:p w:rsidR="004F21D2" w:rsidRDefault="009F0E0E" w:rsidP="004F21D2">
      <w:pPr>
        <w:pStyle w:val="ListParagraph"/>
        <w:numPr>
          <w:ilvl w:val="0"/>
          <w:numId w:val="5"/>
        </w:numPr>
        <w:rPr>
          <w:rFonts w:ascii="Times New Roman" w:hAnsi="Times New Roman"/>
        </w:rPr>
      </w:pPr>
      <w:r>
        <w:rPr>
          <w:rFonts w:ascii="Times New Roman" w:hAnsi="Times New Roman"/>
        </w:rPr>
        <w:t xml:space="preserve">Limited Clientele Benefit </w:t>
      </w:r>
    </w:p>
    <w:p w:rsidR="009F0E0E" w:rsidRDefault="004F21D2" w:rsidP="004F21D2">
      <w:pPr>
        <w:pStyle w:val="ListParagraph"/>
        <w:numPr>
          <w:ilvl w:val="1"/>
          <w:numId w:val="5"/>
        </w:numPr>
        <w:rPr>
          <w:rFonts w:ascii="Times New Roman" w:hAnsi="Times New Roman"/>
        </w:rPr>
      </w:pPr>
      <w:r>
        <w:rPr>
          <w:rFonts w:ascii="Times New Roman" w:hAnsi="Times New Roman"/>
        </w:rPr>
        <w:t>Facility s</w:t>
      </w:r>
      <w:r w:rsidRPr="000D1DCB">
        <w:rPr>
          <w:rFonts w:ascii="Times New Roman" w:hAnsi="Times New Roman"/>
        </w:rPr>
        <w:t>erve</w:t>
      </w:r>
      <w:r>
        <w:rPr>
          <w:rFonts w:ascii="Times New Roman" w:hAnsi="Times New Roman"/>
        </w:rPr>
        <w:t>s</w:t>
      </w:r>
      <w:r w:rsidRPr="000D1DCB">
        <w:rPr>
          <w:rFonts w:ascii="Times New Roman" w:hAnsi="Times New Roman"/>
        </w:rPr>
        <w:t xml:space="preserve"> persons that qualify as one of the following groups:</w:t>
      </w:r>
      <w:r>
        <w:rPr>
          <w:rFonts w:ascii="Times New Roman" w:hAnsi="Times New Roman"/>
        </w:rPr>
        <w:t xml:space="preserve">  </w:t>
      </w:r>
      <w:r w:rsidRPr="000D1DCB">
        <w:rPr>
          <w:rFonts w:ascii="Times New Roman" w:hAnsi="Times New Roman"/>
        </w:rPr>
        <w:t>Abused children, battered spouses, elderly persons, severely disabled adults, homeless persons, illiterate adults, persons living with AIDS and migrant farm workers</w:t>
      </w:r>
      <w:r>
        <w:rPr>
          <w:rFonts w:ascii="Times New Roman" w:hAnsi="Times New Roman"/>
        </w:rPr>
        <w:t>.</w:t>
      </w:r>
    </w:p>
    <w:p w:rsidR="004F21D2" w:rsidRDefault="004F21D2" w:rsidP="004F21D2">
      <w:pPr>
        <w:pStyle w:val="ListParagraph"/>
        <w:numPr>
          <w:ilvl w:val="1"/>
          <w:numId w:val="5"/>
        </w:numPr>
        <w:rPr>
          <w:rFonts w:ascii="Times New Roman" w:hAnsi="Times New Roman"/>
        </w:rPr>
      </w:pPr>
      <w:r>
        <w:rPr>
          <w:rFonts w:ascii="Times New Roman" w:hAnsi="Times New Roman"/>
        </w:rPr>
        <w:t>Facility requires documentation on family size and income in order to ensure that at least 51% of the beneficiaries are of low to moderate income for use.</w:t>
      </w:r>
    </w:p>
    <w:p w:rsidR="004F21D2" w:rsidRDefault="004F21D2" w:rsidP="004F21D2">
      <w:pPr>
        <w:pStyle w:val="ListParagraph"/>
        <w:numPr>
          <w:ilvl w:val="1"/>
          <w:numId w:val="5"/>
        </w:numPr>
        <w:rPr>
          <w:rFonts w:ascii="Times New Roman" w:hAnsi="Times New Roman"/>
        </w:rPr>
      </w:pPr>
      <w:r>
        <w:rPr>
          <w:rFonts w:ascii="Times New Roman" w:hAnsi="Times New Roman"/>
        </w:rPr>
        <w:t>Facility is of such a nature and in such a location that it can be concluded that clients are primarily low to moderate income</w:t>
      </w:r>
    </w:p>
    <w:p w:rsidR="009F0E0E" w:rsidRPr="009F0E0E" w:rsidRDefault="009F0E0E" w:rsidP="009F0E0E">
      <w:pPr>
        <w:rPr>
          <w:rFonts w:ascii="Times New Roman" w:hAnsi="Times New Roman"/>
        </w:rPr>
      </w:pPr>
    </w:p>
    <w:p w:rsidR="00010AF4" w:rsidRDefault="00010AF4">
      <w:pPr>
        <w:rPr>
          <w:rFonts w:ascii="Times New Roman" w:hAnsi="Times New Roman"/>
        </w:rPr>
      </w:pPr>
      <w:r w:rsidRPr="00AC407C">
        <w:rPr>
          <w:rFonts w:ascii="Times New Roman" w:hAnsi="Times New Roman"/>
          <w:b/>
        </w:rPr>
        <w:t>Application Submittal Process</w:t>
      </w:r>
      <w:r>
        <w:rPr>
          <w:rFonts w:ascii="Times New Roman" w:hAnsi="Times New Roman"/>
        </w:rPr>
        <w:t xml:space="preserve">:  Applications will be submitted via the online </w:t>
      </w:r>
      <w:r w:rsidR="00063752">
        <w:rPr>
          <w:rFonts w:ascii="Times New Roman" w:hAnsi="Times New Roman"/>
        </w:rPr>
        <w:t xml:space="preserve">portal at </w:t>
      </w:r>
      <w:hyperlink r:id="rId7" w:history="1">
        <w:r w:rsidR="00C16B63" w:rsidRPr="00C16B63">
          <w:rPr>
            <w:rStyle w:val="Hyperlink"/>
            <w:u w:val="none"/>
          </w:rPr>
          <w:t>https://wwwcfprd.doa.la.gov/CDBG_Cares</w:t>
        </w:r>
      </w:hyperlink>
      <w:r w:rsidR="00063752" w:rsidRPr="00C16B63">
        <w:rPr>
          <w:rFonts w:ascii="Times New Roman" w:hAnsi="Times New Roman"/>
        </w:rPr>
        <w:t xml:space="preserve">.  </w:t>
      </w:r>
      <w:r w:rsidR="001108DB">
        <w:rPr>
          <w:rFonts w:ascii="Times New Roman" w:hAnsi="Times New Roman"/>
        </w:rPr>
        <w:t xml:space="preserve">The online system will be available to users </w:t>
      </w:r>
      <w:r w:rsidR="00C16B63">
        <w:rPr>
          <w:rFonts w:ascii="Times New Roman" w:hAnsi="Times New Roman"/>
        </w:rPr>
        <w:t>at</w:t>
      </w:r>
      <w:r w:rsidR="001108DB">
        <w:rPr>
          <w:rFonts w:ascii="Times New Roman" w:hAnsi="Times New Roman"/>
        </w:rPr>
        <w:t xml:space="preserve"> </w:t>
      </w:r>
      <w:hyperlink r:id="rId8" w:history="1">
        <w:r w:rsidR="00C16B63" w:rsidRPr="00C16B63">
          <w:rPr>
            <w:rStyle w:val="Hyperlink"/>
            <w:u w:val="none"/>
          </w:rPr>
          <w:t>https://wwwcfprd.doa.la.gov/CDBG_Cares</w:t>
        </w:r>
      </w:hyperlink>
      <w:r w:rsidR="00C16B63" w:rsidRPr="00C16B63">
        <w:rPr>
          <w:color w:val="1F497D"/>
        </w:rPr>
        <w:t xml:space="preserve"> </w:t>
      </w:r>
      <w:r w:rsidR="001108DB" w:rsidRPr="00C16B63">
        <w:rPr>
          <w:rFonts w:ascii="Times New Roman" w:hAnsi="Times New Roman"/>
        </w:rPr>
        <w:t>un</w:t>
      </w:r>
      <w:r w:rsidR="001108DB">
        <w:rPr>
          <w:rFonts w:ascii="Times New Roman" w:hAnsi="Times New Roman"/>
        </w:rPr>
        <w:t xml:space="preserve">til all funds have been allocated or OCD determines no further applications are needed.  </w:t>
      </w:r>
      <w:r w:rsidR="00063752">
        <w:rPr>
          <w:rFonts w:ascii="Times New Roman" w:hAnsi="Times New Roman"/>
        </w:rPr>
        <w:t xml:space="preserve">A user id must be obtained from the OCD in order to access the system.  Access request forms are available at </w:t>
      </w:r>
      <w:hyperlink r:id="rId9" w:history="1">
        <w:r w:rsidR="00C16B63" w:rsidRPr="00C16B63">
          <w:rPr>
            <w:rStyle w:val="Hyperlink"/>
            <w:u w:val="none"/>
          </w:rPr>
          <w:t>https://wwwcfprd.doa.la.gov/CDBG_Cares</w:t>
        </w:r>
      </w:hyperlink>
      <w:r w:rsidR="00063752">
        <w:rPr>
          <w:rFonts w:ascii="Times New Roman" w:hAnsi="Times New Roman"/>
        </w:rPr>
        <w:t xml:space="preserve">.  Access request forms must be submitted to OCD for review and approval.  If approved, OCD will provide user id by email to requestor.  Users will be identified as creators (users with access to create or edit applications) and </w:t>
      </w:r>
      <w:r w:rsidR="002E29F0">
        <w:rPr>
          <w:rFonts w:ascii="Times New Roman" w:hAnsi="Times New Roman"/>
        </w:rPr>
        <w:t>submitters</w:t>
      </w:r>
      <w:r w:rsidR="00063752">
        <w:rPr>
          <w:rFonts w:ascii="Times New Roman" w:hAnsi="Times New Roman"/>
        </w:rPr>
        <w:t xml:space="preserve"> (users with access to create, edit, and submit applications).  Creators will be able to create applications in the system for UGLGs when approved to do so by the chief elected official of the UGLG.  </w:t>
      </w:r>
      <w:r w:rsidR="002E29F0">
        <w:rPr>
          <w:rFonts w:ascii="Times New Roman" w:hAnsi="Times New Roman"/>
        </w:rPr>
        <w:t>Submitters</w:t>
      </w:r>
      <w:r w:rsidR="00063752">
        <w:rPr>
          <w:rFonts w:ascii="Times New Roman" w:hAnsi="Times New Roman"/>
        </w:rPr>
        <w:t xml:space="preserve"> will be able to perform all functions of the creator as well as submit the application to OCD for review.  The </w:t>
      </w:r>
      <w:r w:rsidR="002E29F0">
        <w:rPr>
          <w:rFonts w:ascii="Times New Roman" w:hAnsi="Times New Roman"/>
        </w:rPr>
        <w:t>submitter</w:t>
      </w:r>
      <w:r w:rsidR="00063752">
        <w:rPr>
          <w:rFonts w:ascii="Times New Roman" w:hAnsi="Times New Roman"/>
        </w:rPr>
        <w:t xml:space="preserve"> must either be an employee (not a contractual relationship) or elected official of the UGLG.  All access request forms must be approved and signed by the chief elected official of the UGLG.</w:t>
      </w:r>
    </w:p>
    <w:p w:rsidR="00AC407C" w:rsidRDefault="00AC407C">
      <w:pPr>
        <w:rPr>
          <w:rFonts w:ascii="Times New Roman" w:hAnsi="Times New Roman"/>
        </w:rPr>
      </w:pPr>
    </w:p>
    <w:p w:rsidR="00AC407C" w:rsidRDefault="00AC407C">
      <w:pPr>
        <w:rPr>
          <w:rFonts w:ascii="Times New Roman" w:hAnsi="Times New Roman"/>
        </w:rPr>
      </w:pPr>
      <w:r>
        <w:rPr>
          <w:rFonts w:ascii="Times New Roman" w:hAnsi="Times New Roman"/>
        </w:rPr>
        <w:t xml:space="preserve">Application forms can be accessed in the online system at </w:t>
      </w:r>
      <w:hyperlink r:id="rId10" w:history="1">
        <w:r w:rsidR="00C16B63" w:rsidRPr="00C16B63">
          <w:rPr>
            <w:rStyle w:val="Hyperlink"/>
            <w:u w:val="none"/>
          </w:rPr>
          <w:t>https://wwwcfprd.doa.la.gov/CDBG_Cares</w:t>
        </w:r>
      </w:hyperlink>
      <w:r w:rsidRPr="00C16B63">
        <w:rPr>
          <w:rFonts w:ascii="Times New Roman" w:hAnsi="Times New Roman"/>
        </w:rPr>
        <w:t>.  All forms must be submitted through the online system.  No additional information or docum</w:t>
      </w:r>
      <w:r>
        <w:rPr>
          <w:rFonts w:ascii="Times New Roman" w:hAnsi="Times New Roman"/>
        </w:rPr>
        <w:t>ents should be submitted to the OCD unless requested by a member of the OCD staff.  Any further information requested by OCD staff should be submitted within the timeframe identified in the request.</w:t>
      </w:r>
    </w:p>
    <w:p w:rsidR="008F41DD" w:rsidRDefault="008F41DD">
      <w:pPr>
        <w:rPr>
          <w:rFonts w:ascii="Times New Roman" w:hAnsi="Times New Roman"/>
        </w:rPr>
      </w:pPr>
    </w:p>
    <w:p w:rsidR="008F41DD" w:rsidRDefault="008F41DD">
      <w:pPr>
        <w:rPr>
          <w:rFonts w:ascii="Times New Roman" w:hAnsi="Times New Roman"/>
        </w:rPr>
      </w:pPr>
      <w:r>
        <w:rPr>
          <w:rFonts w:ascii="Times New Roman" w:hAnsi="Times New Roman"/>
        </w:rPr>
        <w:t xml:space="preserve">Each eligible applicant may submit one application; however multiple community facilities may be included in the application.  OCD will review each facility separately to verify eligibility.  If any facilities are </w:t>
      </w:r>
      <w:r w:rsidRPr="004A11F9">
        <w:rPr>
          <w:rFonts w:ascii="Times New Roman" w:hAnsi="Times New Roman"/>
        </w:rPr>
        <w:t>determined ineligible, OCD will remove those costs from the proposal but will not deny entire application.  Applicants may include additional facilities for improvements in the Supporting Documentation section of the online system that OCD will review if any facilities are determined to be ineligible and the approved proposed amount is below the grant maximum.</w:t>
      </w:r>
    </w:p>
    <w:p w:rsidR="00342BD6" w:rsidRDefault="00342BD6">
      <w:pPr>
        <w:rPr>
          <w:rFonts w:ascii="Times New Roman" w:hAnsi="Times New Roman"/>
        </w:rPr>
      </w:pPr>
    </w:p>
    <w:p w:rsidR="00342BD6" w:rsidRPr="00342BD6" w:rsidRDefault="00342BD6">
      <w:pPr>
        <w:rPr>
          <w:rFonts w:ascii="Times New Roman" w:hAnsi="Times New Roman"/>
        </w:rPr>
      </w:pPr>
      <w:r>
        <w:rPr>
          <w:rFonts w:ascii="Times New Roman" w:hAnsi="Times New Roman"/>
          <w:b/>
        </w:rPr>
        <w:t>Award Process</w:t>
      </w:r>
      <w:r>
        <w:rPr>
          <w:rFonts w:ascii="Times New Roman" w:hAnsi="Times New Roman"/>
        </w:rPr>
        <w:t>:  OCD will review applications as they are received for eligibility.  OCD will award projects until all available funding has been obligated.</w:t>
      </w:r>
    </w:p>
    <w:p w:rsidR="00CF553E" w:rsidRDefault="00CF553E">
      <w:pPr>
        <w:rPr>
          <w:rFonts w:ascii="Times New Roman" w:hAnsi="Times New Roman"/>
        </w:rPr>
      </w:pPr>
    </w:p>
    <w:p w:rsidR="00B1025C" w:rsidRDefault="00B1025C">
      <w:pPr>
        <w:rPr>
          <w:rFonts w:ascii="Times New Roman" w:hAnsi="Times New Roman"/>
        </w:rPr>
      </w:pPr>
      <w:r w:rsidRPr="00CF553E">
        <w:rPr>
          <w:rFonts w:ascii="Times New Roman" w:hAnsi="Times New Roman"/>
          <w:b/>
        </w:rPr>
        <w:t>Program Allocation</w:t>
      </w:r>
      <w:r>
        <w:rPr>
          <w:rFonts w:ascii="Times New Roman" w:hAnsi="Times New Roman"/>
        </w:rPr>
        <w:t xml:space="preserve">:  A total of $31,000,000 of LCDBG-CV funds are available for funding under the HVAC Community Facilities Program.  </w:t>
      </w:r>
      <w:r w:rsidR="00CF553E">
        <w:rPr>
          <w:rFonts w:ascii="Times New Roman" w:hAnsi="Times New Roman"/>
        </w:rPr>
        <w:t xml:space="preserve">Of that amount, $15,500,000 will be available </w:t>
      </w:r>
      <w:r w:rsidR="00CF553E">
        <w:rPr>
          <w:rFonts w:ascii="Times New Roman" w:hAnsi="Times New Roman"/>
        </w:rPr>
        <w:lastRenderedPageBreak/>
        <w:t>for large applicants (local governments with populations of 10,000 or more) and $15,500,000 will be available for small applicants (local governments with populations of 9,999 or less).</w:t>
      </w:r>
    </w:p>
    <w:p w:rsidR="00CF553E" w:rsidRDefault="00CF553E">
      <w:pPr>
        <w:rPr>
          <w:rFonts w:ascii="Times New Roman" w:hAnsi="Times New Roman"/>
        </w:rPr>
      </w:pPr>
    </w:p>
    <w:p w:rsidR="00A37E22" w:rsidRDefault="00EA5F34" w:rsidP="00A37E22">
      <w:pPr>
        <w:pStyle w:val="ListParagraph"/>
        <w:ind w:left="0"/>
        <w:rPr>
          <w:rFonts w:ascii="Times New Roman" w:hAnsi="Times New Roman"/>
        </w:rPr>
      </w:pPr>
      <w:r w:rsidRPr="004F21D2">
        <w:rPr>
          <w:rFonts w:ascii="Times New Roman" w:hAnsi="Times New Roman"/>
          <w:b/>
        </w:rPr>
        <w:t>Project Amounts</w:t>
      </w:r>
      <w:r>
        <w:rPr>
          <w:rFonts w:ascii="Times New Roman" w:hAnsi="Times New Roman"/>
        </w:rPr>
        <w:t>:</w:t>
      </w:r>
    </w:p>
    <w:p w:rsidR="00EA5F34" w:rsidRDefault="00EA5F34" w:rsidP="00EA5F34">
      <w:pPr>
        <w:pStyle w:val="ListParagraph"/>
        <w:numPr>
          <w:ilvl w:val="0"/>
          <w:numId w:val="2"/>
        </w:numPr>
        <w:rPr>
          <w:rFonts w:ascii="Times New Roman" w:hAnsi="Times New Roman"/>
        </w:rPr>
      </w:pPr>
      <w:r>
        <w:rPr>
          <w:rFonts w:ascii="Times New Roman" w:hAnsi="Times New Roman"/>
        </w:rPr>
        <w:t>Minimum Construction Amount - $</w:t>
      </w:r>
      <w:r w:rsidR="00FC18F5">
        <w:rPr>
          <w:rFonts w:ascii="Times New Roman" w:hAnsi="Times New Roman"/>
        </w:rPr>
        <w:t>80,000</w:t>
      </w:r>
    </w:p>
    <w:p w:rsidR="00EA5F34" w:rsidRDefault="00EA5F34" w:rsidP="00EA5F34">
      <w:pPr>
        <w:pStyle w:val="ListParagraph"/>
        <w:numPr>
          <w:ilvl w:val="0"/>
          <w:numId w:val="2"/>
        </w:numPr>
        <w:rPr>
          <w:rFonts w:ascii="Times New Roman" w:hAnsi="Times New Roman"/>
        </w:rPr>
      </w:pPr>
      <w:r>
        <w:rPr>
          <w:rFonts w:ascii="Times New Roman" w:hAnsi="Times New Roman"/>
        </w:rPr>
        <w:t xml:space="preserve">Maximum </w:t>
      </w:r>
      <w:r w:rsidR="00FC18F5">
        <w:rPr>
          <w:rFonts w:ascii="Times New Roman" w:hAnsi="Times New Roman"/>
        </w:rPr>
        <w:t>Grant</w:t>
      </w:r>
      <w:r>
        <w:rPr>
          <w:rFonts w:ascii="Times New Roman" w:hAnsi="Times New Roman"/>
        </w:rPr>
        <w:t xml:space="preserve"> Amount - $</w:t>
      </w:r>
      <w:r w:rsidR="00FC18F5">
        <w:rPr>
          <w:rFonts w:ascii="Times New Roman" w:hAnsi="Times New Roman"/>
        </w:rPr>
        <w:t>1,000,000</w:t>
      </w:r>
    </w:p>
    <w:p w:rsidR="00EA5F34" w:rsidRDefault="00AB26F1" w:rsidP="00EA5F34">
      <w:pPr>
        <w:pStyle w:val="ListParagraph"/>
        <w:numPr>
          <w:ilvl w:val="0"/>
          <w:numId w:val="2"/>
        </w:numPr>
        <w:rPr>
          <w:rFonts w:ascii="Times New Roman" w:hAnsi="Times New Roman"/>
        </w:rPr>
      </w:pPr>
      <w:r>
        <w:rPr>
          <w:rFonts w:ascii="Times New Roman" w:hAnsi="Times New Roman"/>
        </w:rPr>
        <w:t>Administration Amount – The maximum allowable administrative costs will be determined by the total grant amounts and will be on a cost reimbursement basis only.  Grants up to $200,000 will be allowed up to $30,000 for administrative costs; grants from $200,001 to $600,000 will be allowed up to $60,000 for administrative costs; and grants from $600,001 to $1,000,000 will be allowed a maximum of $100,000 for administrative costs.  No pre-agreement costs will be allowed for administration.</w:t>
      </w:r>
    </w:p>
    <w:p w:rsidR="00EA5F34" w:rsidRDefault="00342BD6" w:rsidP="00EA5F34">
      <w:pPr>
        <w:pStyle w:val="ListParagraph"/>
        <w:numPr>
          <w:ilvl w:val="0"/>
          <w:numId w:val="2"/>
        </w:numPr>
        <w:rPr>
          <w:rFonts w:ascii="Times New Roman" w:hAnsi="Times New Roman"/>
        </w:rPr>
      </w:pPr>
      <w:r>
        <w:rPr>
          <w:rFonts w:ascii="Times New Roman" w:hAnsi="Times New Roman"/>
        </w:rPr>
        <w:t>Design Fees – Please refer to “Engineering Fee Schedules and Policies” located on OCD’s website for information concerning eligible design fees.  Design fees will be approved on a cost reimbursement basis only.</w:t>
      </w:r>
    </w:p>
    <w:p w:rsidR="00E97C5C" w:rsidRDefault="00E97C5C" w:rsidP="00E97C5C">
      <w:pPr>
        <w:rPr>
          <w:szCs w:val="24"/>
        </w:rPr>
      </w:pPr>
    </w:p>
    <w:p w:rsidR="00E97C5C" w:rsidRPr="00E97C5C" w:rsidRDefault="00E97C5C" w:rsidP="00E97C5C">
      <w:pPr>
        <w:rPr>
          <w:szCs w:val="24"/>
        </w:rPr>
      </w:pPr>
      <w:r>
        <w:rPr>
          <w:b/>
          <w:szCs w:val="24"/>
        </w:rPr>
        <w:t>Project Scope Considerations</w:t>
      </w:r>
      <w:r>
        <w:rPr>
          <w:szCs w:val="24"/>
        </w:rPr>
        <w:t xml:space="preserve">:  In addition to consideration of costs to </w:t>
      </w:r>
      <w:r w:rsidRPr="00E97C5C">
        <w:rPr>
          <w:szCs w:val="24"/>
        </w:rPr>
        <w:t>upgrade/modify Heating, Ventilation, and Air Conditioning (HVAC) system</w:t>
      </w:r>
      <w:r>
        <w:rPr>
          <w:szCs w:val="24"/>
        </w:rPr>
        <w:t>, applicants should consider the following</w:t>
      </w:r>
      <w:r w:rsidR="00631240">
        <w:rPr>
          <w:szCs w:val="24"/>
        </w:rPr>
        <w:t xml:space="preserve"> (not all inclusive list)</w:t>
      </w:r>
      <w:r>
        <w:rPr>
          <w:szCs w:val="24"/>
        </w:rPr>
        <w:t>:</w:t>
      </w:r>
    </w:p>
    <w:p w:rsidR="00E97C5C" w:rsidRPr="00D37073" w:rsidRDefault="00E97C5C" w:rsidP="00BA7804">
      <w:pPr>
        <w:pStyle w:val="ListParagraph"/>
        <w:numPr>
          <w:ilvl w:val="0"/>
          <w:numId w:val="2"/>
        </w:numPr>
        <w:rPr>
          <w:szCs w:val="24"/>
        </w:rPr>
      </w:pPr>
      <w:r w:rsidRPr="00D37073">
        <w:rPr>
          <w:szCs w:val="24"/>
        </w:rPr>
        <w:t>Asbestos - Asbestos was used in almost every public and commercial building constructed before the 1980s in the United States in a variety of ways.  Asbestos was used as a fireproofing material, it was use in roof shingles, insulation, siding, wallboard, floor tiles, joint compounds, acoustical plaster and adhesives.  However, asbestos becomes a hazard when it is damaged, crumbles, or is in a state of disrepair. It then poses a health risk to building occupants, repairmen, and maintenance workers because asbestos fibers may be released into the air. The risk is even greater if the building is demolished, renovated, or remodeled.  Professionals who design the HVAC upgrade/modify should take into consideration that the HVAC upgrades/modifications could include the need for asbestos abatement.</w:t>
      </w:r>
      <w:r w:rsidR="00D37073" w:rsidRPr="00D37073">
        <w:rPr>
          <w:szCs w:val="24"/>
        </w:rPr>
        <w:t xml:space="preserve">  </w:t>
      </w:r>
      <w:r w:rsidRPr="00D37073">
        <w:rPr>
          <w:szCs w:val="24"/>
        </w:rPr>
        <w:t>Asbestos guidelines and regulations can be found at the Louisiana Department of Environmental Quality web sit</w:t>
      </w:r>
      <w:r w:rsidR="00D37073" w:rsidRPr="00D37073">
        <w:rPr>
          <w:szCs w:val="24"/>
        </w:rPr>
        <w:t xml:space="preserve">e at: </w:t>
      </w:r>
      <w:hyperlink r:id="rId11" w:history="1">
        <w:r w:rsidRPr="00D37073">
          <w:rPr>
            <w:rStyle w:val="Hyperlink"/>
            <w:szCs w:val="24"/>
            <w:u w:val="none"/>
          </w:rPr>
          <w:t>https://deq.louisiana.gov/page/asbestos-accreditation-and-notification-forms</w:t>
        </w:r>
      </w:hyperlink>
      <w:r w:rsidR="00D37073">
        <w:rPr>
          <w:rStyle w:val="Hyperlink"/>
          <w:szCs w:val="24"/>
          <w:u w:val="none"/>
        </w:rPr>
        <w:t xml:space="preserve"> .</w:t>
      </w:r>
    </w:p>
    <w:p w:rsidR="00E97C5C" w:rsidRPr="00D37073" w:rsidRDefault="00E97C5C" w:rsidP="004D0EF2">
      <w:pPr>
        <w:pStyle w:val="ListParagraph"/>
        <w:numPr>
          <w:ilvl w:val="0"/>
          <w:numId w:val="2"/>
        </w:numPr>
        <w:rPr>
          <w:szCs w:val="24"/>
        </w:rPr>
      </w:pPr>
      <w:r w:rsidRPr="00D37073">
        <w:rPr>
          <w:szCs w:val="24"/>
        </w:rPr>
        <w:t>Lead Based Paints</w:t>
      </w:r>
      <w:r w:rsidR="00D37073" w:rsidRPr="00D37073">
        <w:rPr>
          <w:szCs w:val="24"/>
        </w:rPr>
        <w:t xml:space="preserve"> - </w:t>
      </w:r>
      <w:r w:rsidRPr="00D37073">
        <w:rPr>
          <w:szCs w:val="24"/>
        </w:rPr>
        <w:t>If a building was built before 1978, it is more likely to have lead-based paint. In 1978, the federal government banned consumer uses of lead-based paint.</w:t>
      </w:r>
      <w:r w:rsidR="00D37073" w:rsidRPr="00D37073">
        <w:rPr>
          <w:szCs w:val="24"/>
        </w:rPr>
        <w:t xml:space="preserve">  </w:t>
      </w:r>
      <w:r w:rsidRPr="00D37073">
        <w:rPr>
          <w:szCs w:val="24"/>
        </w:rPr>
        <w:t>The EPA says consult a certified lead professional before beginning renovation, repair or painting projects. Renovation, repair or painting activities can create toxic lead dust when painted surfaces are disturbed or demolished.</w:t>
      </w:r>
      <w:r w:rsidR="00D37073" w:rsidRPr="00D37073">
        <w:rPr>
          <w:szCs w:val="24"/>
        </w:rPr>
        <w:t xml:space="preserve">  </w:t>
      </w:r>
      <w:r w:rsidRPr="00D37073">
        <w:rPr>
          <w:szCs w:val="24"/>
        </w:rPr>
        <w:t>Professionals who design the HVAC upgrade/modify should take into consideration that the HVAC upgrades/modifications could include the need for lead paint remediation.</w:t>
      </w:r>
      <w:r w:rsidR="00D37073" w:rsidRPr="00D37073">
        <w:rPr>
          <w:szCs w:val="24"/>
        </w:rPr>
        <w:t xml:space="preserve">  </w:t>
      </w:r>
      <w:r w:rsidRPr="00D37073">
        <w:rPr>
          <w:szCs w:val="24"/>
        </w:rPr>
        <w:t xml:space="preserve">Lead </w:t>
      </w:r>
      <w:r w:rsidR="00A2691E">
        <w:rPr>
          <w:szCs w:val="24"/>
        </w:rPr>
        <w:t>p</w:t>
      </w:r>
      <w:r w:rsidRPr="00D37073">
        <w:rPr>
          <w:szCs w:val="24"/>
        </w:rPr>
        <w:t>aint guidelines and regulations can be found at the Louisiana Department of En</w:t>
      </w:r>
      <w:r w:rsidR="00D37073" w:rsidRPr="00D37073">
        <w:rPr>
          <w:szCs w:val="24"/>
        </w:rPr>
        <w:t xml:space="preserve">vironmental Quality web site at:  </w:t>
      </w:r>
      <w:hyperlink r:id="rId12" w:history="1">
        <w:r w:rsidRPr="00D37073">
          <w:rPr>
            <w:rStyle w:val="Hyperlink"/>
            <w:szCs w:val="24"/>
            <w:u w:val="none"/>
          </w:rPr>
          <w:t>https://deq.louisiana.gov/page/leadbased-paint</w:t>
        </w:r>
      </w:hyperlink>
      <w:r w:rsidR="00D37073">
        <w:rPr>
          <w:rStyle w:val="Hyperlink"/>
          <w:szCs w:val="24"/>
          <w:u w:val="none"/>
        </w:rPr>
        <w:t xml:space="preserve"> .</w:t>
      </w:r>
    </w:p>
    <w:p w:rsidR="00E97C5C" w:rsidRPr="00D37073" w:rsidRDefault="00E97C5C" w:rsidP="00535CD9">
      <w:pPr>
        <w:pStyle w:val="ListParagraph"/>
        <w:numPr>
          <w:ilvl w:val="0"/>
          <w:numId w:val="2"/>
        </w:numPr>
        <w:rPr>
          <w:szCs w:val="24"/>
        </w:rPr>
      </w:pPr>
      <w:r w:rsidRPr="00D37073">
        <w:rPr>
          <w:szCs w:val="24"/>
        </w:rPr>
        <w:t>Mold</w:t>
      </w:r>
      <w:r w:rsidR="00D37073" w:rsidRPr="00D37073">
        <w:rPr>
          <w:szCs w:val="24"/>
        </w:rPr>
        <w:t xml:space="preserve"> - </w:t>
      </w:r>
      <w:r w:rsidRPr="00D37073">
        <w:rPr>
          <w:szCs w:val="24"/>
        </w:rPr>
        <w:t xml:space="preserve">Mold growth inside hard surface (e.g., sheet metal) ducts or on other components of your heating and cooling system may occur. </w:t>
      </w:r>
      <w:r w:rsidR="00D37073" w:rsidRPr="00D37073">
        <w:rPr>
          <w:szCs w:val="24"/>
        </w:rPr>
        <w:t xml:space="preserve"> </w:t>
      </w:r>
      <w:r w:rsidRPr="00D37073">
        <w:rPr>
          <w:szCs w:val="24"/>
        </w:rPr>
        <w:t>Any HVAC upgrade/modifications for public facilities should include a mold inspection of the duct work and all other components of the HVAC system.   A HVAC professional should recommend remediation efforts if necessary.  Remediation efforts could include cleaning, sanitizing or replacement of the duct work and all other components of the HVAC system.</w:t>
      </w:r>
      <w:r w:rsidR="00D37073" w:rsidRPr="00D37073">
        <w:rPr>
          <w:szCs w:val="24"/>
        </w:rPr>
        <w:t xml:space="preserve">  </w:t>
      </w:r>
      <w:r w:rsidRPr="00D37073">
        <w:rPr>
          <w:szCs w:val="24"/>
        </w:rPr>
        <w:t xml:space="preserve">More information on mold and guidelines can be found at the Louisiana Department of Health </w:t>
      </w:r>
      <w:r w:rsidR="00D37073" w:rsidRPr="00D37073">
        <w:rPr>
          <w:szCs w:val="24"/>
        </w:rPr>
        <w:t xml:space="preserve">website at:  </w:t>
      </w:r>
      <w:hyperlink r:id="rId13" w:history="1">
        <w:r w:rsidR="00D37073" w:rsidRPr="00D37073">
          <w:rPr>
            <w:rStyle w:val="Hyperlink"/>
            <w:szCs w:val="24"/>
            <w:u w:val="none"/>
          </w:rPr>
          <w:t>https://ldh.la.gov/index.cfm/faq/category/41</w:t>
        </w:r>
      </w:hyperlink>
      <w:r w:rsidR="00D37073" w:rsidRPr="00D37073">
        <w:rPr>
          <w:szCs w:val="24"/>
        </w:rPr>
        <w:t xml:space="preserve"> .</w:t>
      </w:r>
    </w:p>
    <w:p w:rsidR="00E97C5C" w:rsidRPr="00E97C5C" w:rsidRDefault="00E97C5C" w:rsidP="00E97C5C">
      <w:pPr>
        <w:rPr>
          <w:rFonts w:ascii="Times New Roman" w:hAnsi="Times New Roman"/>
        </w:rPr>
      </w:pPr>
    </w:p>
    <w:p w:rsidR="00010AF4" w:rsidRPr="001108DB" w:rsidRDefault="00010AF4" w:rsidP="001D740C">
      <w:pPr>
        <w:rPr>
          <w:rFonts w:ascii="Times New Roman" w:hAnsi="Times New Roman"/>
          <w:b/>
        </w:rPr>
      </w:pPr>
      <w:r w:rsidRPr="001108DB">
        <w:rPr>
          <w:rFonts w:ascii="Times New Roman" w:hAnsi="Times New Roman"/>
          <w:b/>
        </w:rPr>
        <w:lastRenderedPageBreak/>
        <w:t>Additional Program Requirements</w:t>
      </w:r>
      <w:r w:rsidR="001108DB" w:rsidRPr="001108DB">
        <w:rPr>
          <w:rFonts w:ascii="Times New Roman" w:hAnsi="Times New Roman"/>
          <w:b/>
        </w:rPr>
        <w:t xml:space="preserve"> to note (not all inclusive)</w:t>
      </w:r>
      <w:r w:rsidRPr="001108DB">
        <w:rPr>
          <w:rFonts w:ascii="Times New Roman" w:hAnsi="Times New Roman"/>
          <w:b/>
        </w:rPr>
        <w:t xml:space="preserve">:  </w:t>
      </w:r>
    </w:p>
    <w:p w:rsidR="00010AF4" w:rsidRDefault="00010AF4" w:rsidP="00010AF4">
      <w:pPr>
        <w:pStyle w:val="ListParagraph"/>
        <w:numPr>
          <w:ilvl w:val="0"/>
          <w:numId w:val="3"/>
        </w:numPr>
        <w:rPr>
          <w:rFonts w:ascii="Times New Roman" w:hAnsi="Times New Roman"/>
        </w:rPr>
      </w:pPr>
      <w:r>
        <w:rPr>
          <w:rFonts w:ascii="Times New Roman" w:hAnsi="Times New Roman"/>
        </w:rPr>
        <w:t xml:space="preserve">All applicants must have an active DUNS number registered in </w:t>
      </w:r>
      <w:hyperlink r:id="rId14" w:history="1">
        <w:r w:rsidRPr="00AE5423">
          <w:rPr>
            <w:rStyle w:val="Hyperlink"/>
            <w:rFonts w:ascii="Times New Roman" w:hAnsi="Times New Roman"/>
          </w:rPr>
          <w:t>www.SAM.gov</w:t>
        </w:r>
      </w:hyperlink>
      <w:r>
        <w:rPr>
          <w:rFonts w:ascii="Times New Roman" w:hAnsi="Times New Roman"/>
        </w:rPr>
        <w:t>.</w:t>
      </w:r>
    </w:p>
    <w:p w:rsidR="00010AF4" w:rsidRDefault="00010AF4" w:rsidP="00010AF4">
      <w:pPr>
        <w:pStyle w:val="ListParagraph"/>
        <w:numPr>
          <w:ilvl w:val="0"/>
          <w:numId w:val="3"/>
        </w:numPr>
        <w:rPr>
          <w:rFonts w:ascii="Times New Roman" w:hAnsi="Times New Roman"/>
        </w:rPr>
      </w:pPr>
      <w:r>
        <w:rPr>
          <w:rFonts w:ascii="Times New Roman" w:hAnsi="Times New Roman"/>
        </w:rPr>
        <w:t>All applicants must certify that no other federal funds have been received by the applicant/</w:t>
      </w:r>
      <w:r w:rsidR="004A11F9">
        <w:rPr>
          <w:rFonts w:ascii="Times New Roman" w:hAnsi="Times New Roman"/>
        </w:rPr>
        <w:t>sub recipient</w:t>
      </w:r>
      <w:r>
        <w:rPr>
          <w:rFonts w:ascii="Times New Roman" w:hAnsi="Times New Roman"/>
        </w:rPr>
        <w:t xml:space="preserve"> for the proposed project resulting in a prohibited Duplication of Benefit.</w:t>
      </w:r>
    </w:p>
    <w:p w:rsidR="00010AF4" w:rsidRDefault="00010AF4" w:rsidP="00010AF4">
      <w:pPr>
        <w:pStyle w:val="ListParagraph"/>
        <w:numPr>
          <w:ilvl w:val="0"/>
          <w:numId w:val="3"/>
        </w:numPr>
        <w:rPr>
          <w:rFonts w:ascii="Times New Roman" w:hAnsi="Times New Roman"/>
        </w:rPr>
      </w:pPr>
      <w:r>
        <w:rPr>
          <w:rFonts w:ascii="Times New Roman" w:hAnsi="Times New Roman"/>
        </w:rPr>
        <w:t>All applicants must not be included in the Louisiana Legislative Auditor’s (LLA) non-compliance list at the time of application or grant award.</w:t>
      </w:r>
    </w:p>
    <w:p w:rsidR="00010AF4" w:rsidRDefault="00010AF4" w:rsidP="00010AF4">
      <w:pPr>
        <w:pStyle w:val="ListParagraph"/>
        <w:numPr>
          <w:ilvl w:val="0"/>
          <w:numId w:val="3"/>
        </w:numPr>
        <w:rPr>
          <w:rFonts w:ascii="Times New Roman" w:hAnsi="Times New Roman"/>
        </w:rPr>
      </w:pPr>
      <w:r>
        <w:rPr>
          <w:rFonts w:ascii="Times New Roman" w:hAnsi="Times New Roman"/>
        </w:rPr>
        <w:t>All applicants must not be currently sanctioned by the OCD from participating in the LCDBG program.</w:t>
      </w:r>
    </w:p>
    <w:p w:rsidR="00010AF4" w:rsidRDefault="001108DB" w:rsidP="00010AF4">
      <w:pPr>
        <w:pStyle w:val="ListParagraph"/>
        <w:numPr>
          <w:ilvl w:val="0"/>
          <w:numId w:val="3"/>
        </w:numPr>
        <w:rPr>
          <w:rFonts w:ascii="Times New Roman" w:hAnsi="Times New Roman"/>
        </w:rPr>
      </w:pPr>
      <w:r>
        <w:rPr>
          <w:rFonts w:ascii="Times New Roman" w:hAnsi="Times New Roman"/>
        </w:rPr>
        <w:t>All applicants must complete and provide documentation of citizen participation requirements in accordance with federal regulations.</w:t>
      </w:r>
    </w:p>
    <w:p w:rsidR="001108DB" w:rsidRDefault="001108DB" w:rsidP="00010AF4">
      <w:pPr>
        <w:pStyle w:val="ListParagraph"/>
        <w:numPr>
          <w:ilvl w:val="0"/>
          <w:numId w:val="3"/>
        </w:numPr>
        <w:rPr>
          <w:rFonts w:ascii="Times New Roman" w:hAnsi="Times New Roman"/>
        </w:rPr>
      </w:pPr>
      <w:r>
        <w:rPr>
          <w:rFonts w:ascii="Times New Roman" w:hAnsi="Times New Roman"/>
        </w:rPr>
        <w:t>Applicants seeking fees for design professionals must have procured professionals in accordance with federal regulations.</w:t>
      </w:r>
    </w:p>
    <w:p w:rsidR="001108DB" w:rsidRDefault="001108DB" w:rsidP="00010AF4">
      <w:pPr>
        <w:pStyle w:val="ListParagraph"/>
        <w:numPr>
          <w:ilvl w:val="0"/>
          <w:numId w:val="3"/>
        </w:numPr>
        <w:rPr>
          <w:rFonts w:ascii="Times New Roman" w:hAnsi="Times New Roman"/>
        </w:rPr>
      </w:pPr>
      <w:r>
        <w:rPr>
          <w:rFonts w:ascii="Times New Roman" w:hAnsi="Times New Roman"/>
        </w:rPr>
        <w:t>All awarded projects must be completed within two years of award.  Documentation of benchmarks will be required and must be met during implementation of project.</w:t>
      </w:r>
    </w:p>
    <w:p w:rsidR="00A15023" w:rsidRDefault="00A15023" w:rsidP="00010AF4">
      <w:pPr>
        <w:pStyle w:val="ListParagraph"/>
        <w:numPr>
          <w:ilvl w:val="0"/>
          <w:numId w:val="3"/>
        </w:numPr>
        <w:rPr>
          <w:rFonts w:ascii="Times New Roman" w:hAnsi="Times New Roman"/>
        </w:rPr>
      </w:pPr>
      <w:r>
        <w:rPr>
          <w:rFonts w:ascii="Times New Roman" w:hAnsi="Times New Roman"/>
        </w:rPr>
        <w:t>Each application can only include services from one administration and one engineering/architectural firm.</w:t>
      </w:r>
    </w:p>
    <w:p w:rsidR="00A15023" w:rsidRDefault="005079A9" w:rsidP="00010AF4">
      <w:pPr>
        <w:pStyle w:val="ListParagraph"/>
        <w:numPr>
          <w:ilvl w:val="0"/>
          <w:numId w:val="3"/>
        </w:numPr>
        <w:rPr>
          <w:rFonts w:ascii="Times New Roman" w:hAnsi="Times New Roman"/>
        </w:rPr>
      </w:pPr>
      <w:r>
        <w:rPr>
          <w:rFonts w:ascii="Times New Roman" w:hAnsi="Times New Roman"/>
        </w:rPr>
        <w:t xml:space="preserve">Applicants applying for HVAC improvements for publicly-owned facilities not owned by the applicant will be required to execute a </w:t>
      </w:r>
      <w:r w:rsidR="004A11F9">
        <w:rPr>
          <w:rFonts w:ascii="Times New Roman" w:hAnsi="Times New Roman"/>
        </w:rPr>
        <w:t>sub recipient</w:t>
      </w:r>
      <w:r>
        <w:rPr>
          <w:rFonts w:ascii="Times New Roman" w:hAnsi="Times New Roman"/>
        </w:rPr>
        <w:t xml:space="preserve"> agreement with the public entity that provides the services and/or owns the facility, if funded.</w:t>
      </w:r>
    </w:p>
    <w:p w:rsidR="00A15023" w:rsidRDefault="00A15023" w:rsidP="00A15023">
      <w:pPr>
        <w:pStyle w:val="ListParagraph"/>
        <w:rPr>
          <w:rFonts w:ascii="Times New Roman" w:hAnsi="Times New Roman"/>
        </w:rPr>
      </w:pPr>
    </w:p>
    <w:p w:rsidR="002B5E69" w:rsidRDefault="002B5E69" w:rsidP="00A15023">
      <w:pPr>
        <w:pStyle w:val="ListParagraph"/>
        <w:rPr>
          <w:rFonts w:ascii="Times New Roman" w:hAnsi="Times New Roman"/>
        </w:rPr>
      </w:pPr>
    </w:p>
    <w:p w:rsidR="002B5E69" w:rsidRDefault="002B5E69" w:rsidP="00A15023">
      <w:pPr>
        <w:pStyle w:val="ListParagraph"/>
        <w:rPr>
          <w:rFonts w:ascii="Times New Roman" w:hAnsi="Times New Roman"/>
        </w:rPr>
      </w:pPr>
    </w:p>
    <w:p w:rsidR="002B5E69" w:rsidRPr="00010AF4" w:rsidRDefault="002B5E69" w:rsidP="002B5E69">
      <w:pPr>
        <w:pStyle w:val="ListParagraph"/>
        <w:jc w:val="right"/>
        <w:rPr>
          <w:rFonts w:ascii="Times New Roman" w:hAnsi="Times New Roman"/>
        </w:rPr>
      </w:pPr>
      <w:r>
        <w:rPr>
          <w:rFonts w:ascii="Times New Roman" w:hAnsi="Times New Roman"/>
        </w:rPr>
        <w:t>Finalized 01/</w:t>
      </w:r>
      <w:r w:rsidR="00B461DA">
        <w:rPr>
          <w:rFonts w:ascii="Times New Roman" w:hAnsi="Times New Roman"/>
        </w:rPr>
        <w:t>21</w:t>
      </w:r>
      <w:r>
        <w:rPr>
          <w:rFonts w:ascii="Times New Roman" w:hAnsi="Times New Roman"/>
        </w:rPr>
        <w:t>/21 TW</w:t>
      </w:r>
    </w:p>
    <w:sectPr w:rsidR="002B5E69" w:rsidRPr="00010AF4" w:rsidSect="00877389">
      <w:pgSz w:w="12240" w:h="15840"/>
      <w:pgMar w:top="900" w:right="1440" w:bottom="108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3EE2" w16cex:dateUtc="2021-01-15T22:18:00Z"/>
  <w16cex:commentExtensible w16cex:durableId="23AC4037" w16cex:dateUtc="2021-01-15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9B2C2" w16cid:durableId="23AC3EE2"/>
  <w16cid:commentId w16cid:paraId="2EE3A26B" w16cid:durableId="23AC40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1BF"/>
    <w:multiLevelType w:val="hybridMultilevel"/>
    <w:tmpl w:val="8FE2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73264"/>
    <w:multiLevelType w:val="hybridMultilevel"/>
    <w:tmpl w:val="B3EC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75FE9"/>
    <w:multiLevelType w:val="hybridMultilevel"/>
    <w:tmpl w:val="5B60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64711"/>
    <w:multiLevelType w:val="hybridMultilevel"/>
    <w:tmpl w:val="2534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0E69D8"/>
    <w:multiLevelType w:val="hybridMultilevel"/>
    <w:tmpl w:val="C5E0C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CF"/>
    <w:rsid w:val="00010AF4"/>
    <w:rsid w:val="00045AA5"/>
    <w:rsid w:val="00063752"/>
    <w:rsid w:val="000D1DCB"/>
    <w:rsid w:val="001108DB"/>
    <w:rsid w:val="00186C13"/>
    <w:rsid w:val="001D740C"/>
    <w:rsid w:val="001F562D"/>
    <w:rsid w:val="002B5E69"/>
    <w:rsid w:val="002E29F0"/>
    <w:rsid w:val="00321B3E"/>
    <w:rsid w:val="00342BD6"/>
    <w:rsid w:val="003A1F0A"/>
    <w:rsid w:val="00427CCA"/>
    <w:rsid w:val="004A11F9"/>
    <w:rsid w:val="004B40B5"/>
    <w:rsid w:val="004D5637"/>
    <w:rsid w:val="004F21D2"/>
    <w:rsid w:val="00505FBD"/>
    <w:rsid w:val="005079A9"/>
    <w:rsid w:val="0057242B"/>
    <w:rsid w:val="00631240"/>
    <w:rsid w:val="00722733"/>
    <w:rsid w:val="007408F7"/>
    <w:rsid w:val="00761C74"/>
    <w:rsid w:val="0076251F"/>
    <w:rsid w:val="00820630"/>
    <w:rsid w:val="00877389"/>
    <w:rsid w:val="008F41DD"/>
    <w:rsid w:val="009F0E0E"/>
    <w:rsid w:val="00A10474"/>
    <w:rsid w:val="00A15023"/>
    <w:rsid w:val="00A2691E"/>
    <w:rsid w:val="00A37E22"/>
    <w:rsid w:val="00AB26F1"/>
    <w:rsid w:val="00AC407C"/>
    <w:rsid w:val="00B1025C"/>
    <w:rsid w:val="00B461DA"/>
    <w:rsid w:val="00BA033A"/>
    <w:rsid w:val="00BD77C0"/>
    <w:rsid w:val="00BF00CF"/>
    <w:rsid w:val="00BF1B7B"/>
    <w:rsid w:val="00C16B63"/>
    <w:rsid w:val="00C37BC0"/>
    <w:rsid w:val="00C76A04"/>
    <w:rsid w:val="00CF553E"/>
    <w:rsid w:val="00D37073"/>
    <w:rsid w:val="00DC1DA3"/>
    <w:rsid w:val="00E52AB9"/>
    <w:rsid w:val="00E97C5C"/>
    <w:rsid w:val="00EA5F34"/>
    <w:rsid w:val="00EE16E9"/>
    <w:rsid w:val="00EF380C"/>
    <w:rsid w:val="00F53CCA"/>
    <w:rsid w:val="00F95CDD"/>
    <w:rsid w:val="00FC18F5"/>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11C061-1D4D-47AF-A43E-D6E5AD72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0CF"/>
    <w:pPr>
      <w:ind w:left="720"/>
      <w:contextualSpacing/>
    </w:pPr>
  </w:style>
  <w:style w:type="character" w:styleId="Hyperlink">
    <w:name w:val="Hyperlink"/>
    <w:basedOn w:val="DefaultParagraphFont"/>
    <w:uiPriority w:val="99"/>
    <w:unhideWhenUsed/>
    <w:rsid w:val="00010AF4"/>
    <w:rPr>
      <w:color w:val="0000FF" w:themeColor="hyperlink"/>
      <w:u w:val="single"/>
    </w:rPr>
  </w:style>
  <w:style w:type="character" w:styleId="CommentReference">
    <w:name w:val="annotation reference"/>
    <w:basedOn w:val="DefaultParagraphFont"/>
    <w:uiPriority w:val="99"/>
    <w:semiHidden/>
    <w:unhideWhenUsed/>
    <w:rsid w:val="002E29F0"/>
    <w:rPr>
      <w:sz w:val="16"/>
      <w:szCs w:val="16"/>
    </w:rPr>
  </w:style>
  <w:style w:type="paragraph" w:styleId="CommentText">
    <w:name w:val="annotation text"/>
    <w:basedOn w:val="Normal"/>
    <w:link w:val="CommentTextChar"/>
    <w:uiPriority w:val="99"/>
    <w:semiHidden/>
    <w:unhideWhenUsed/>
    <w:rsid w:val="002E29F0"/>
    <w:rPr>
      <w:sz w:val="20"/>
    </w:rPr>
  </w:style>
  <w:style w:type="character" w:customStyle="1" w:styleId="CommentTextChar">
    <w:name w:val="Comment Text Char"/>
    <w:basedOn w:val="DefaultParagraphFont"/>
    <w:link w:val="CommentText"/>
    <w:uiPriority w:val="99"/>
    <w:semiHidden/>
    <w:rsid w:val="002E29F0"/>
    <w:rPr>
      <w:rFonts w:ascii="CG Times" w:hAnsi="CG Times"/>
    </w:rPr>
  </w:style>
  <w:style w:type="paragraph" w:styleId="CommentSubject">
    <w:name w:val="annotation subject"/>
    <w:basedOn w:val="CommentText"/>
    <w:next w:val="CommentText"/>
    <w:link w:val="CommentSubjectChar"/>
    <w:uiPriority w:val="99"/>
    <w:semiHidden/>
    <w:unhideWhenUsed/>
    <w:rsid w:val="002E29F0"/>
    <w:rPr>
      <w:b/>
      <w:bCs/>
    </w:rPr>
  </w:style>
  <w:style w:type="character" w:customStyle="1" w:styleId="CommentSubjectChar">
    <w:name w:val="Comment Subject Char"/>
    <w:basedOn w:val="CommentTextChar"/>
    <w:link w:val="CommentSubject"/>
    <w:uiPriority w:val="99"/>
    <w:semiHidden/>
    <w:rsid w:val="002E29F0"/>
    <w:rPr>
      <w:rFonts w:ascii="CG Times" w:hAnsi="CG Times"/>
      <w:b/>
      <w:bCs/>
    </w:rPr>
  </w:style>
  <w:style w:type="paragraph" w:styleId="BalloonText">
    <w:name w:val="Balloon Text"/>
    <w:basedOn w:val="Normal"/>
    <w:link w:val="BalloonTextChar"/>
    <w:uiPriority w:val="99"/>
    <w:semiHidden/>
    <w:unhideWhenUsed/>
    <w:rsid w:val="00507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prd.doa.la.gov/CDBG_Cares" TargetMode="External"/><Relationship Id="rId13" Type="http://schemas.openxmlformats.org/officeDocument/2006/relationships/hyperlink" Target="https://ldh.la.gov/index.cfm/faq/category/41"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wwwcfprd.doa.la.gov/CDBG_Cares" TargetMode="External"/><Relationship Id="rId12" Type="http://schemas.openxmlformats.org/officeDocument/2006/relationships/hyperlink" Target="https://deq.louisiana.gov/page/leadbased-pa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iles.hudexchange.info/resources/documents/CDBG-Memorandum-Definition-of-Building-for-General-Conduct-Government.pdf" TargetMode="External"/><Relationship Id="rId11" Type="http://schemas.openxmlformats.org/officeDocument/2006/relationships/hyperlink" Target="https://deq.louisiana.gov/page/asbestos-accreditation-and-notification-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fprd.doa.la.gov/CDBG_Car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cfprd.doa.la.gov/CDBG_Cares" TargetMode="Externa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073F-3B4D-4C93-805B-861AFB26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1723</Words>
  <Characters>10684</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Watts</dc:creator>
  <cp:keywords/>
  <dc:description/>
  <cp:lastModifiedBy>Jason Hebert</cp:lastModifiedBy>
  <cp:revision>2</cp:revision>
  <dcterms:created xsi:type="dcterms:W3CDTF">2021-01-25T13:00:00Z</dcterms:created>
  <dcterms:modified xsi:type="dcterms:W3CDTF">2021-01-25T13:00:00Z</dcterms:modified>
</cp:coreProperties>
</file>