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bookmarkStart w:id="0" w:name="_GoBack"/>
      <w:bookmarkEnd w:id="0"/>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r>
        <w:rPr>
          <w:rFonts w:ascii="Times New Roman" w:hAnsi="Times New Roman" w:cs="Times New Roman"/>
          <w:sz w:val="24"/>
          <w:szCs w:val="24"/>
        </w:rPr>
        <w:t xml:space="preserve">Minutes of the </w:t>
      </w:r>
      <w:r w:rsidR="006E417C">
        <w:rPr>
          <w:rFonts w:ascii="Times New Roman" w:hAnsi="Times New Roman" w:cs="Times New Roman"/>
          <w:sz w:val="24"/>
          <w:szCs w:val="24"/>
        </w:rPr>
        <w:t>Board Retreat</w:t>
      </w:r>
      <w:r w:rsidR="00FF5607">
        <w:rPr>
          <w:rFonts w:ascii="Times New Roman" w:hAnsi="Times New Roman" w:cs="Times New Roman"/>
          <w:sz w:val="24"/>
          <w:szCs w:val="24"/>
        </w:rPr>
        <w:t xml:space="preserve"> </w:t>
      </w:r>
      <w:r w:rsidR="006E417C">
        <w:rPr>
          <w:rFonts w:ascii="Times New Roman" w:hAnsi="Times New Roman" w:cs="Times New Roman"/>
          <w:b/>
          <w:sz w:val="24"/>
          <w:szCs w:val="24"/>
        </w:rPr>
        <w:t>Satur</w:t>
      </w:r>
      <w:r w:rsidR="008C7B67">
        <w:rPr>
          <w:rFonts w:ascii="Times New Roman" w:hAnsi="Times New Roman" w:cs="Times New Roman"/>
          <w:b/>
          <w:sz w:val="24"/>
          <w:szCs w:val="24"/>
        </w:rPr>
        <w:t xml:space="preserve">day, </w:t>
      </w:r>
      <w:r w:rsidR="008B09BC">
        <w:rPr>
          <w:rFonts w:ascii="Times New Roman" w:hAnsi="Times New Roman" w:cs="Times New Roman"/>
          <w:b/>
          <w:sz w:val="24"/>
          <w:szCs w:val="24"/>
        </w:rPr>
        <w:t xml:space="preserve">April </w:t>
      </w:r>
      <w:r w:rsidR="006E417C">
        <w:rPr>
          <w:rFonts w:ascii="Times New Roman" w:hAnsi="Times New Roman" w:cs="Times New Roman"/>
          <w:b/>
          <w:sz w:val="24"/>
          <w:szCs w:val="24"/>
        </w:rPr>
        <w:t>20</w:t>
      </w:r>
      <w:r w:rsidR="004B1F60">
        <w:rPr>
          <w:rFonts w:ascii="Times New Roman" w:hAnsi="Times New Roman" w:cs="Times New Roman"/>
          <w:b/>
          <w:sz w:val="24"/>
          <w:szCs w:val="24"/>
        </w:rPr>
        <w:t>,</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6E417C">
        <w:rPr>
          <w:rFonts w:ascii="Times New Roman" w:hAnsi="Times New Roman" w:cs="Times New Roman"/>
          <w:b/>
          <w:sz w:val="24"/>
          <w:szCs w:val="24"/>
        </w:rPr>
        <w:t>8:30 a.m.</w:t>
      </w:r>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w:t>
      </w:r>
      <w:r w:rsidR="006E417C">
        <w:rPr>
          <w:rFonts w:ascii="Times New Roman" w:hAnsi="Times New Roman" w:cs="Times New Roman"/>
          <w:sz w:val="24"/>
          <w:szCs w:val="24"/>
        </w:rPr>
        <w:t>Retreat</w:t>
      </w:r>
      <w:r w:rsidRPr="003255C1">
        <w:rPr>
          <w:rFonts w:ascii="Times New Roman" w:hAnsi="Times New Roman" w:cs="Times New Roman"/>
          <w:sz w:val="24"/>
          <w:szCs w:val="24"/>
        </w:rPr>
        <w:t xml:space="preserve">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006E417C">
        <w:rPr>
          <w:rFonts w:ascii="Times New Roman" w:hAnsi="Times New Roman" w:cs="Times New Roman"/>
          <w:b/>
          <w:sz w:val="24"/>
          <w:szCs w:val="24"/>
        </w:rPr>
        <w:t>Satur</w:t>
      </w:r>
      <w:r w:rsidRPr="00900B29">
        <w:rPr>
          <w:rFonts w:ascii="Times New Roman" w:hAnsi="Times New Roman" w:cs="Times New Roman"/>
          <w:b/>
          <w:sz w:val="24"/>
          <w:szCs w:val="24"/>
        </w:rPr>
        <w:t xml:space="preserve">day, </w:t>
      </w:r>
      <w:r w:rsidR="008B09BC">
        <w:rPr>
          <w:rFonts w:ascii="Times New Roman" w:hAnsi="Times New Roman" w:cs="Times New Roman"/>
          <w:b/>
          <w:sz w:val="24"/>
          <w:szCs w:val="24"/>
        </w:rPr>
        <w:t xml:space="preserve">April </w:t>
      </w:r>
      <w:r w:rsidR="006E417C">
        <w:rPr>
          <w:rFonts w:ascii="Times New Roman" w:hAnsi="Times New Roman" w:cs="Times New Roman"/>
          <w:b/>
          <w:sz w:val="24"/>
          <w:szCs w:val="24"/>
        </w:rPr>
        <w:t>20</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w:t>
      </w:r>
      <w:r w:rsidR="006E417C">
        <w:rPr>
          <w:rFonts w:ascii="Times New Roman" w:hAnsi="Times New Roman" w:cs="Times New Roman"/>
          <w:b/>
          <w:sz w:val="24"/>
          <w:szCs w:val="24"/>
        </w:rPr>
        <w:t>8:30 a</w:t>
      </w:r>
      <w:r w:rsidRPr="00900B29">
        <w:rPr>
          <w:rFonts w:ascii="Times New Roman" w:hAnsi="Times New Roman" w:cs="Times New Roman"/>
          <w:b/>
          <w:sz w:val="24"/>
          <w:szCs w:val="24"/>
        </w:rPr>
        <w:t>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 xml:space="preserve">Chair </w:t>
      </w:r>
      <w:r w:rsidR="008B09BC">
        <w:rPr>
          <w:rFonts w:ascii="Times New Roman" w:hAnsi="Times New Roman" w:cs="Times New Roman"/>
          <w:sz w:val="24"/>
          <w:szCs w:val="24"/>
        </w:rPr>
        <w:t>Marcelle Slaughter</w:t>
      </w:r>
      <w:r w:rsidR="003F4D19">
        <w:rPr>
          <w:rFonts w:ascii="Times New Roman" w:hAnsi="Times New Roman" w:cs="Times New Roman"/>
          <w:sz w:val="24"/>
          <w:szCs w:val="24"/>
        </w:rPr>
        <w:t xml:space="preserve"> at </w:t>
      </w:r>
      <w:r w:rsidR="006E417C">
        <w:rPr>
          <w:rFonts w:ascii="Times New Roman" w:hAnsi="Times New Roman" w:cs="Times New Roman"/>
          <w:sz w:val="24"/>
          <w:szCs w:val="24"/>
        </w:rPr>
        <w:t>8:30 am</w:t>
      </w:r>
      <w:r w:rsidR="003F4D19">
        <w:rPr>
          <w:rFonts w:ascii="Times New Roman" w:hAnsi="Times New Roman" w:cs="Times New Roman"/>
          <w:sz w:val="24"/>
          <w:szCs w:val="24"/>
        </w:rPr>
        <w:t>.</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w:t>
      </w:r>
      <w:r w:rsidR="006E417C">
        <w:rPr>
          <w:rFonts w:ascii="Times New Roman" w:hAnsi="Times New Roman" w:cs="Times New Roman"/>
          <w:sz w:val="24"/>
          <w:szCs w:val="24"/>
        </w:rPr>
        <w:t>Njeri Camara</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6243AC">
        <w:rPr>
          <w:rFonts w:ascii="Times New Roman" w:hAnsi="Times New Roman" w:cs="Times New Roman"/>
          <w:sz w:val="24"/>
          <w:szCs w:val="24"/>
        </w:rPr>
        <w:t xml:space="preserve">Morgan Johnson, Njeri Camara, Margaret Lowery, </w:t>
      </w:r>
      <w:r w:rsidR="006E417C">
        <w:rPr>
          <w:rFonts w:ascii="Times New Roman" w:hAnsi="Times New Roman" w:cs="Times New Roman"/>
          <w:sz w:val="24"/>
          <w:szCs w:val="24"/>
        </w:rPr>
        <w:t xml:space="preserve">Wanda Brock, </w:t>
      </w:r>
      <w:r w:rsidR="008B09BC">
        <w:rPr>
          <w:rFonts w:ascii="Times New Roman" w:hAnsi="Times New Roman" w:cs="Times New Roman"/>
          <w:sz w:val="24"/>
          <w:szCs w:val="24"/>
        </w:rPr>
        <w:t xml:space="preserve">Marcelle Slaughter, </w:t>
      </w:r>
      <w:r w:rsidR="004B1F60">
        <w:rPr>
          <w:rFonts w:ascii="Times New Roman" w:hAnsi="Times New Roman" w:cs="Times New Roman"/>
          <w:sz w:val="24"/>
          <w:szCs w:val="24"/>
        </w:rPr>
        <w:t>Ora Rice,</w:t>
      </w:r>
      <w:r w:rsidR="00413DBB">
        <w:rPr>
          <w:rFonts w:ascii="Times New Roman" w:hAnsi="Times New Roman" w:cs="Times New Roman"/>
          <w:sz w:val="24"/>
          <w:szCs w:val="24"/>
        </w:rPr>
        <w:t xml:space="preserve"> </w:t>
      </w:r>
      <w:r w:rsidR="004B1F60">
        <w:rPr>
          <w:rFonts w:ascii="Times New Roman" w:hAnsi="Times New Roman" w:cs="Times New Roman"/>
          <w:sz w:val="24"/>
          <w:szCs w:val="24"/>
        </w:rPr>
        <w:t>Deanna Fowler,</w:t>
      </w:r>
      <w:r w:rsidR="006243AC">
        <w:rPr>
          <w:rFonts w:ascii="Times New Roman" w:hAnsi="Times New Roman" w:cs="Times New Roman"/>
          <w:sz w:val="24"/>
          <w:szCs w:val="24"/>
        </w:rPr>
        <w:t xml:space="preserve"> </w:t>
      </w:r>
      <w:r w:rsidR="006E417C">
        <w:rPr>
          <w:rFonts w:ascii="Times New Roman" w:hAnsi="Times New Roman" w:cs="Times New Roman"/>
          <w:sz w:val="24"/>
          <w:szCs w:val="24"/>
        </w:rPr>
        <w:t xml:space="preserve">Chris Nolen </w:t>
      </w:r>
      <w:r w:rsidR="00086157">
        <w:rPr>
          <w:rFonts w:ascii="Times New Roman" w:hAnsi="Times New Roman" w:cs="Times New Roman"/>
          <w:sz w:val="24"/>
          <w:szCs w:val="24"/>
        </w:rPr>
        <w:t>and</w:t>
      </w:r>
      <w:r w:rsidR="00413DBB">
        <w:rPr>
          <w:rFonts w:ascii="Times New Roman" w:hAnsi="Times New Roman" w:cs="Times New Roman"/>
          <w:sz w:val="24"/>
          <w:szCs w:val="24"/>
        </w:rPr>
        <w:t xml:space="preserve"> </w:t>
      </w:r>
      <w:r w:rsidR="004B1F60">
        <w:rPr>
          <w:rFonts w:ascii="Times New Roman" w:hAnsi="Times New Roman" w:cs="Times New Roman"/>
          <w:sz w:val="24"/>
          <w:szCs w:val="24"/>
        </w:rPr>
        <w:t>Bar</w:t>
      </w:r>
      <w:r w:rsidR="006243AC">
        <w:rPr>
          <w:rFonts w:ascii="Times New Roman" w:hAnsi="Times New Roman" w:cs="Times New Roman"/>
          <w:sz w:val="24"/>
          <w:szCs w:val="24"/>
        </w:rPr>
        <w:t xml:space="preserve">bara Marshall.  Absent: </w:t>
      </w:r>
      <w:r w:rsidR="006E417C">
        <w:rPr>
          <w:rFonts w:ascii="Times New Roman" w:hAnsi="Times New Roman" w:cs="Times New Roman"/>
          <w:sz w:val="24"/>
          <w:szCs w:val="24"/>
        </w:rPr>
        <w:t xml:space="preserve">Jennifer Partain, Fred Jones and </w:t>
      </w:r>
      <w:r w:rsidR="008B09BC">
        <w:rPr>
          <w:rFonts w:ascii="Times New Roman" w:hAnsi="Times New Roman" w:cs="Times New Roman"/>
          <w:sz w:val="24"/>
          <w:szCs w:val="24"/>
        </w:rPr>
        <w:t>Roland Pippin</w:t>
      </w:r>
      <w:r w:rsidR="006E417C">
        <w:rPr>
          <w:rFonts w:ascii="Times New Roman" w:hAnsi="Times New Roman" w:cs="Times New Roman"/>
          <w:sz w:val="24"/>
          <w:szCs w:val="24"/>
        </w:rPr>
        <w:t>.</w:t>
      </w:r>
      <w:r w:rsidR="008B09BC">
        <w:rPr>
          <w:rFonts w:ascii="Times New Roman" w:hAnsi="Times New Roman" w:cs="Times New Roman"/>
          <w:sz w:val="24"/>
          <w:szCs w:val="24"/>
        </w:rPr>
        <w:t xml:space="preserve"> </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Staff:  Russell Semon</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413DBB">
        <w:rPr>
          <w:rFonts w:ascii="Times New Roman" w:hAnsi="Times New Roman" w:cs="Times New Roman"/>
          <w:sz w:val="24"/>
          <w:szCs w:val="24"/>
        </w:rPr>
        <w:t>Reece Middleton</w:t>
      </w:r>
      <w:r w:rsidR="006E417C">
        <w:rPr>
          <w:rFonts w:ascii="Times New Roman" w:hAnsi="Times New Roman" w:cs="Times New Roman"/>
          <w:sz w:val="24"/>
          <w:szCs w:val="24"/>
        </w:rPr>
        <w:t>, LA Association on Compulsive Gambling, and Ronald Moore, Coushatta</w:t>
      </w:r>
      <w:r w:rsidR="00D6353F">
        <w:rPr>
          <w:rFonts w:ascii="Times New Roman" w:hAnsi="Times New Roman" w:cs="Times New Roman"/>
          <w:sz w:val="24"/>
          <w:szCs w:val="24"/>
        </w:rPr>
        <w:t>.</w:t>
      </w:r>
    </w:p>
    <w:p w:rsidR="00D1311A" w:rsidRDefault="006E417C" w:rsidP="00900B29">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Welcome</w:t>
      </w:r>
      <w:r w:rsidR="00D6353F">
        <w:rPr>
          <w:rFonts w:ascii="Times New Roman" w:hAnsi="Times New Roman" w:cs="Times New Roman"/>
          <w:b/>
          <w:sz w:val="24"/>
          <w:szCs w:val="24"/>
        </w:rPr>
        <w:t xml:space="preserve">.  </w:t>
      </w:r>
      <w:r>
        <w:rPr>
          <w:rFonts w:ascii="Times New Roman" w:hAnsi="Times New Roman" w:cs="Times New Roman"/>
          <w:sz w:val="24"/>
          <w:szCs w:val="24"/>
        </w:rPr>
        <w:t>Doug Efferson offered a brief overview of the retreat outline and instructions for how the public will be engaged in the process.</w:t>
      </w:r>
      <w:r w:rsidR="00EC1A6F">
        <w:rPr>
          <w:rFonts w:ascii="Times New Roman" w:hAnsi="Times New Roman" w:cs="Times New Roman"/>
          <w:sz w:val="24"/>
          <w:szCs w:val="24"/>
        </w:rPr>
        <w:t xml:space="preserve"> </w:t>
      </w:r>
    </w:p>
    <w:p w:rsidR="0027613C" w:rsidRDefault="0027613C" w:rsidP="0027613C">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Introduction of Guest, Community Leaders, Stakeholders</w:t>
      </w:r>
      <w:r w:rsidR="002333FE">
        <w:rPr>
          <w:rFonts w:ascii="Times New Roman" w:hAnsi="Times New Roman" w:cs="Times New Roman"/>
          <w:sz w:val="24"/>
          <w:szCs w:val="24"/>
        </w:rPr>
        <w:t xml:space="preserve">. </w:t>
      </w:r>
      <w:r>
        <w:rPr>
          <w:rFonts w:ascii="Times New Roman" w:hAnsi="Times New Roman" w:cs="Times New Roman"/>
          <w:sz w:val="24"/>
          <w:szCs w:val="24"/>
        </w:rPr>
        <w:t xml:space="preserve">Reece Middleton, Executive Director of the Louisiana Association on Compulsive Gambling, presented a report on the residential treatment center (C.O.R.E.) with the request that the following be considered when determining the ENDS Policy:  1) That the District Board encourage the State Legislature to retain and renew designated gambling specific funds for treatment and prevention of Problem Gambling; and 2) That the District Board consider reissuing the contractual funding basis at CORE from Per Diem to cost reimbursement, leaving the total contracted amount the same.  </w:t>
      </w:r>
    </w:p>
    <w:p w:rsidR="0027613C" w:rsidRDefault="0027613C" w:rsidP="0027613C">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behalf of the Northwest Louisiana Behavioral Health Regional Advisory Council, Middleton presented input towards the ENDS Policy to embrace </w:t>
      </w:r>
      <w:r w:rsidR="002D74FC">
        <w:rPr>
          <w:rFonts w:ascii="Times New Roman" w:hAnsi="Times New Roman" w:cs="Times New Roman"/>
          <w:sz w:val="24"/>
          <w:szCs w:val="24"/>
        </w:rPr>
        <w:t>the RAC</w:t>
      </w:r>
      <w:r>
        <w:rPr>
          <w:rFonts w:ascii="Times New Roman" w:hAnsi="Times New Roman" w:cs="Times New Roman"/>
          <w:sz w:val="24"/>
          <w:szCs w:val="24"/>
        </w:rPr>
        <w:t xml:space="preserve"> 2012-2013 goals: 1) To increase awareness and recruitment of stakeholders for appropriate membership; and 2) Promote advocacy, prevention, education, recovery and wellness.</w:t>
      </w:r>
    </w:p>
    <w:p w:rsidR="001343D9" w:rsidRDefault="00070728" w:rsidP="00070728">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Discussion Facilitator in Charge, Board Member Ora Rice, Webster Parish</w:t>
      </w:r>
      <w:r w:rsidR="00D1311A" w:rsidRPr="00F35250">
        <w:rPr>
          <w:rFonts w:ascii="Times New Roman" w:hAnsi="Times New Roman" w:cs="Times New Roman"/>
          <w:b/>
          <w:sz w:val="24"/>
          <w:szCs w:val="24"/>
        </w:rPr>
        <w:t>:</w:t>
      </w:r>
      <w:r w:rsidR="00D1311A">
        <w:rPr>
          <w:rFonts w:ascii="Times New Roman" w:hAnsi="Times New Roman" w:cs="Times New Roman"/>
          <w:sz w:val="24"/>
          <w:szCs w:val="24"/>
        </w:rPr>
        <w:t xml:space="preserve">  </w:t>
      </w:r>
    </w:p>
    <w:p w:rsidR="00070728" w:rsidRDefault="00070728" w:rsidP="00070728">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directive reiterated </w:t>
      </w:r>
      <w:r w:rsidR="00D31421">
        <w:rPr>
          <w:rFonts w:ascii="Times New Roman" w:hAnsi="Times New Roman" w:cs="Times New Roman"/>
          <w:sz w:val="24"/>
          <w:szCs w:val="24"/>
        </w:rPr>
        <w:t xml:space="preserve">was </w:t>
      </w:r>
      <w:r>
        <w:rPr>
          <w:rFonts w:ascii="Times New Roman" w:hAnsi="Times New Roman" w:cs="Times New Roman"/>
          <w:sz w:val="24"/>
          <w:szCs w:val="24"/>
        </w:rPr>
        <w:t xml:space="preserve">there are three questions to be answered in determining ENDS Policy statements:  What are the Benefits?  What is the Cost?  For </w:t>
      </w:r>
      <w:r w:rsidR="00D31421">
        <w:rPr>
          <w:rFonts w:ascii="Times New Roman" w:hAnsi="Times New Roman" w:cs="Times New Roman"/>
          <w:sz w:val="24"/>
          <w:szCs w:val="24"/>
        </w:rPr>
        <w:t>whom are the S</w:t>
      </w:r>
      <w:r>
        <w:rPr>
          <w:rFonts w:ascii="Times New Roman" w:hAnsi="Times New Roman" w:cs="Times New Roman"/>
          <w:sz w:val="24"/>
          <w:szCs w:val="24"/>
        </w:rPr>
        <w:t>ervices?</w:t>
      </w:r>
    </w:p>
    <w:p w:rsidR="00D31421" w:rsidRDefault="00070728" w:rsidP="00D31421">
      <w:pPr>
        <w:spacing w:after="100" w:afterAutospacing="1"/>
        <w:jc w:val="both"/>
        <w:rPr>
          <w:rFonts w:ascii="Times New Roman" w:hAnsi="Times New Roman" w:cs="Times New Roman"/>
          <w:sz w:val="24"/>
          <w:szCs w:val="24"/>
        </w:rPr>
      </w:pPr>
      <w:r w:rsidRPr="00D31421">
        <w:rPr>
          <w:rFonts w:ascii="Times New Roman" w:hAnsi="Times New Roman" w:cs="Times New Roman"/>
          <w:b/>
          <w:i/>
          <w:sz w:val="24"/>
          <w:szCs w:val="24"/>
        </w:rPr>
        <w:t>The first step is determin</w:t>
      </w:r>
      <w:r w:rsidR="00C87DC4">
        <w:rPr>
          <w:rFonts w:ascii="Times New Roman" w:hAnsi="Times New Roman" w:cs="Times New Roman"/>
          <w:b/>
          <w:i/>
          <w:sz w:val="24"/>
          <w:szCs w:val="24"/>
        </w:rPr>
        <w:t>ing</w:t>
      </w:r>
      <w:r w:rsidRPr="00D31421">
        <w:rPr>
          <w:rFonts w:ascii="Times New Roman" w:hAnsi="Times New Roman" w:cs="Times New Roman"/>
          <w:b/>
          <w:i/>
          <w:sz w:val="24"/>
          <w:szCs w:val="24"/>
        </w:rPr>
        <w:t xml:space="preserve"> the process by which the Board will receive input and comments from Guests, community Leaders and Stakeholders.</w:t>
      </w:r>
      <w:r>
        <w:rPr>
          <w:rFonts w:ascii="Times New Roman" w:hAnsi="Times New Roman" w:cs="Times New Roman"/>
          <w:sz w:val="24"/>
          <w:szCs w:val="24"/>
        </w:rPr>
        <w:t xml:space="preserve">  </w:t>
      </w:r>
      <w:r w:rsidR="00C87DC4">
        <w:rPr>
          <w:rFonts w:ascii="Times New Roman" w:hAnsi="Times New Roman" w:cs="Times New Roman"/>
          <w:sz w:val="24"/>
          <w:szCs w:val="24"/>
        </w:rPr>
        <w:t xml:space="preserve">The board had already established the </w:t>
      </w:r>
      <w:r>
        <w:rPr>
          <w:rFonts w:ascii="Times New Roman" w:hAnsi="Times New Roman" w:cs="Times New Roman"/>
          <w:sz w:val="24"/>
          <w:szCs w:val="24"/>
        </w:rPr>
        <w:t xml:space="preserve">process </w:t>
      </w:r>
      <w:r w:rsidR="00C87DC4">
        <w:rPr>
          <w:rFonts w:ascii="Times New Roman" w:hAnsi="Times New Roman" w:cs="Times New Roman"/>
          <w:sz w:val="24"/>
          <w:szCs w:val="24"/>
        </w:rPr>
        <w:t>w</w:t>
      </w:r>
      <w:r>
        <w:rPr>
          <w:rFonts w:ascii="Times New Roman" w:hAnsi="Times New Roman" w:cs="Times New Roman"/>
          <w:sz w:val="24"/>
          <w:szCs w:val="24"/>
        </w:rPr>
        <w:t xml:space="preserve">ith board members individually speaking with the various owners and stakeholders within respective parishes </w:t>
      </w:r>
      <w:r w:rsidR="00C87DC4">
        <w:rPr>
          <w:rFonts w:ascii="Times New Roman" w:hAnsi="Times New Roman" w:cs="Times New Roman"/>
          <w:sz w:val="24"/>
          <w:szCs w:val="24"/>
        </w:rPr>
        <w:t xml:space="preserve">by </w:t>
      </w:r>
      <w:r>
        <w:rPr>
          <w:rFonts w:ascii="Times New Roman" w:hAnsi="Times New Roman" w:cs="Times New Roman"/>
          <w:sz w:val="24"/>
          <w:szCs w:val="24"/>
        </w:rPr>
        <w:t>soliciting comments and suggestions, receiving the input through official means (meeting minutes, letters, written requests, etc.</w:t>
      </w:r>
      <w:r w:rsidR="00C87DC4">
        <w:rPr>
          <w:rFonts w:ascii="Times New Roman" w:hAnsi="Times New Roman" w:cs="Times New Roman"/>
          <w:sz w:val="24"/>
          <w:szCs w:val="24"/>
        </w:rPr>
        <w:t xml:space="preserve"> of the various entities, organizations and agencies</w:t>
      </w:r>
      <w:r>
        <w:rPr>
          <w:rFonts w:ascii="Times New Roman" w:hAnsi="Times New Roman" w:cs="Times New Roman"/>
          <w:sz w:val="24"/>
          <w:szCs w:val="24"/>
        </w:rPr>
        <w:t xml:space="preserve">), archiving the information to become part of the </w:t>
      </w:r>
      <w:r w:rsidR="00C87DC4">
        <w:rPr>
          <w:rFonts w:ascii="Times New Roman" w:hAnsi="Times New Roman" w:cs="Times New Roman"/>
          <w:sz w:val="24"/>
          <w:szCs w:val="24"/>
        </w:rPr>
        <w:t>District</w:t>
      </w:r>
      <w:r>
        <w:rPr>
          <w:rFonts w:ascii="Times New Roman" w:hAnsi="Times New Roman" w:cs="Times New Roman"/>
          <w:sz w:val="24"/>
          <w:szCs w:val="24"/>
        </w:rPr>
        <w:t>’s official records, and utilizing the input from owners to develop policy, assist with strategic plans, review and monitor</w:t>
      </w:r>
      <w:r w:rsidR="002D74FC">
        <w:rPr>
          <w:rFonts w:ascii="Times New Roman" w:hAnsi="Times New Roman" w:cs="Times New Roman"/>
          <w:sz w:val="24"/>
          <w:szCs w:val="24"/>
        </w:rPr>
        <w:t>ing</w:t>
      </w:r>
      <w:r>
        <w:rPr>
          <w:rFonts w:ascii="Times New Roman" w:hAnsi="Times New Roman" w:cs="Times New Roman"/>
          <w:sz w:val="24"/>
          <w:szCs w:val="24"/>
        </w:rPr>
        <w:t xml:space="preserve"> of ENDS performance.  </w:t>
      </w:r>
      <w:r w:rsidR="00D31421">
        <w:rPr>
          <w:rFonts w:ascii="Times New Roman" w:hAnsi="Times New Roman" w:cs="Times New Roman"/>
          <w:sz w:val="24"/>
          <w:szCs w:val="24"/>
        </w:rPr>
        <w:t>Develop list of owners for information meeting date</w:t>
      </w:r>
      <w:r w:rsidR="00C87DC4">
        <w:rPr>
          <w:rFonts w:ascii="Times New Roman" w:hAnsi="Times New Roman" w:cs="Times New Roman"/>
          <w:sz w:val="24"/>
          <w:szCs w:val="24"/>
        </w:rPr>
        <w:t>s and</w:t>
      </w:r>
      <w:r w:rsidR="00D31421">
        <w:rPr>
          <w:rFonts w:ascii="Times New Roman" w:hAnsi="Times New Roman" w:cs="Times New Roman"/>
          <w:sz w:val="24"/>
          <w:szCs w:val="24"/>
        </w:rPr>
        <w:t xml:space="preserve"> potential communications process.  </w:t>
      </w:r>
      <w:r w:rsidR="00C87DC4">
        <w:rPr>
          <w:rFonts w:ascii="Times New Roman" w:hAnsi="Times New Roman" w:cs="Times New Roman"/>
          <w:sz w:val="24"/>
          <w:szCs w:val="24"/>
        </w:rPr>
        <w:t xml:space="preserve">Owners/stakeholders </w:t>
      </w:r>
      <w:r w:rsidR="00C87DC4">
        <w:rPr>
          <w:rFonts w:ascii="Times New Roman" w:hAnsi="Times New Roman" w:cs="Times New Roman"/>
          <w:sz w:val="24"/>
          <w:szCs w:val="24"/>
        </w:rPr>
        <w:lastRenderedPageBreak/>
        <w:t xml:space="preserve">include those on the </w:t>
      </w:r>
      <w:r w:rsidR="00D31421">
        <w:rPr>
          <w:rFonts w:ascii="Times New Roman" w:hAnsi="Times New Roman" w:cs="Times New Roman"/>
          <w:sz w:val="24"/>
          <w:szCs w:val="24"/>
        </w:rPr>
        <w:t>OCDD</w:t>
      </w:r>
      <w:r w:rsidR="00C87DC4">
        <w:rPr>
          <w:rFonts w:ascii="Times New Roman" w:hAnsi="Times New Roman" w:cs="Times New Roman"/>
          <w:sz w:val="24"/>
          <w:szCs w:val="24"/>
        </w:rPr>
        <w:t xml:space="preserve"> and OBH</w:t>
      </w:r>
      <w:r w:rsidR="00D31421">
        <w:rPr>
          <w:rFonts w:ascii="Times New Roman" w:hAnsi="Times New Roman" w:cs="Times New Roman"/>
          <w:sz w:val="24"/>
          <w:szCs w:val="24"/>
        </w:rPr>
        <w:t xml:space="preserve"> </w:t>
      </w:r>
      <w:r w:rsidR="00C87DC4">
        <w:rPr>
          <w:rFonts w:ascii="Times New Roman" w:hAnsi="Times New Roman" w:cs="Times New Roman"/>
          <w:sz w:val="24"/>
          <w:szCs w:val="24"/>
        </w:rPr>
        <w:t>l</w:t>
      </w:r>
      <w:r w:rsidR="00D31421">
        <w:rPr>
          <w:rFonts w:ascii="Times New Roman" w:hAnsi="Times New Roman" w:cs="Times New Roman"/>
          <w:sz w:val="24"/>
          <w:szCs w:val="24"/>
        </w:rPr>
        <w:t>isting</w:t>
      </w:r>
      <w:r w:rsidR="00C87DC4">
        <w:rPr>
          <w:rFonts w:ascii="Times New Roman" w:hAnsi="Times New Roman" w:cs="Times New Roman"/>
          <w:sz w:val="24"/>
          <w:szCs w:val="24"/>
        </w:rPr>
        <w:t>s</w:t>
      </w:r>
      <w:r w:rsidR="00D31421">
        <w:rPr>
          <w:rFonts w:ascii="Times New Roman" w:hAnsi="Times New Roman" w:cs="Times New Roman"/>
          <w:sz w:val="24"/>
          <w:szCs w:val="24"/>
        </w:rPr>
        <w:t xml:space="preserve"> </w:t>
      </w:r>
      <w:r w:rsidR="00C87DC4">
        <w:rPr>
          <w:rFonts w:ascii="Times New Roman" w:hAnsi="Times New Roman" w:cs="Times New Roman"/>
          <w:sz w:val="24"/>
          <w:szCs w:val="24"/>
        </w:rPr>
        <w:t xml:space="preserve">provided by </w:t>
      </w:r>
      <w:r w:rsidR="00D31421">
        <w:rPr>
          <w:rFonts w:ascii="Times New Roman" w:hAnsi="Times New Roman" w:cs="Times New Roman"/>
          <w:sz w:val="24"/>
          <w:szCs w:val="24"/>
        </w:rPr>
        <w:t>Sharon Doyle</w:t>
      </w:r>
      <w:r w:rsidR="00C87DC4">
        <w:rPr>
          <w:rFonts w:ascii="Times New Roman" w:hAnsi="Times New Roman" w:cs="Times New Roman"/>
          <w:sz w:val="24"/>
          <w:szCs w:val="24"/>
        </w:rPr>
        <w:t xml:space="preserve"> and </w:t>
      </w:r>
      <w:r w:rsidR="00D31421">
        <w:rPr>
          <w:rFonts w:ascii="Times New Roman" w:hAnsi="Times New Roman" w:cs="Times New Roman"/>
          <w:sz w:val="24"/>
          <w:szCs w:val="24"/>
        </w:rPr>
        <w:t xml:space="preserve">Wendy Goad.   Dee Fowler, Chris Nolen, Ora Rice, Njeri Camara </w:t>
      </w:r>
      <w:r w:rsidR="00C87DC4">
        <w:rPr>
          <w:rFonts w:ascii="Times New Roman" w:hAnsi="Times New Roman" w:cs="Times New Roman"/>
          <w:sz w:val="24"/>
          <w:szCs w:val="24"/>
        </w:rPr>
        <w:t>and Wanda Brock all reported communicating with agencies such as</w:t>
      </w:r>
      <w:r w:rsidR="00D31421">
        <w:rPr>
          <w:rFonts w:ascii="Times New Roman" w:hAnsi="Times New Roman" w:cs="Times New Roman"/>
          <w:sz w:val="24"/>
          <w:szCs w:val="24"/>
        </w:rPr>
        <w:t xml:space="preserve"> National Alliance for the Mentally Ill (NAMI) Northwest, Women’s Resource Center (Natchitoches), Cane River Children Services, Natchitoches Parish Sheriff Office, Natchitoches Association of Retarded Citizens, Tenth Judicial District Court, Natchitoches Council on Aging, Child and Family Network (NSU),  The Board’s solicitation of input, comments and suggestions will be continuous, as well as solicitations through the clinics and regional program offices.  </w:t>
      </w:r>
    </w:p>
    <w:p w:rsidR="00D31421" w:rsidRDefault="00D31421" w:rsidP="00D31421">
      <w:pPr>
        <w:spacing w:after="100" w:afterAutospacing="1"/>
        <w:jc w:val="both"/>
        <w:rPr>
          <w:rFonts w:ascii="Times New Roman" w:hAnsi="Times New Roman" w:cs="Times New Roman"/>
          <w:sz w:val="24"/>
          <w:szCs w:val="24"/>
        </w:rPr>
      </w:pPr>
      <w:r w:rsidRPr="00D31421">
        <w:rPr>
          <w:rFonts w:ascii="Times New Roman" w:hAnsi="Times New Roman" w:cs="Times New Roman"/>
          <w:b/>
          <w:sz w:val="24"/>
          <w:szCs w:val="24"/>
        </w:rPr>
        <w:t>Moved by Camara, 2</w:t>
      </w:r>
      <w:r w:rsidRPr="00D31421">
        <w:rPr>
          <w:rFonts w:ascii="Times New Roman" w:hAnsi="Times New Roman" w:cs="Times New Roman"/>
          <w:b/>
          <w:sz w:val="24"/>
          <w:szCs w:val="24"/>
          <w:vertAlign w:val="superscript"/>
        </w:rPr>
        <w:t>nd</w:t>
      </w:r>
      <w:r w:rsidRPr="00D31421">
        <w:rPr>
          <w:rFonts w:ascii="Times New Roman" w:hAnsi="Times New Roman" w:cs="Times New Roman"/>
          <w:b/>
          <w:sz w:val="24"/>
          <w:szCs w:val="24"/>
        </w:rPr>
        <w:t xml:space="preserve"> by Lowery</w:t>
      </w:r>
      <w:r>
        <w:rPr>
          <w:rFonts w:ascii="Times New Roman" w:hAnsi="Times New Roman" w:cs="Times New Roman"/>
          <w:sz w:val="24"/>
          <w:szCs w:val="24"/>
        </w:rPr>
        <w:t xml:space="preserve"> that each board member will turn in their lists of contacts for owners/stakeholders to the secretary for inclusion in the official records.  Unanimously approved.</w:t>
      </w:r>
    </w:p>
    <w:p w:rsidR="002D74FC" w:rsidRDefault="00D31421" w:rsidP="00070728">
      <w:pPr>
        <w:spacing w:after="100" w:afterAutospacing="1"/>
        <w:jc w:val="both"/>
        <w:rPr>
          <w:rFonts w:ascii="Times New Roman" w:hAnsi="Times New Roman" w:cs="Times New Roman"/>
          <w:sz w:val="24"/>
          <w:szCs w:val="24"/>
        </w:rPr>
      </w:pPr>
      <w:r w:rsidRPr="00D31421">
        <w:rPr>
          <w:rFonts w:ascii="Times New Roman" w:hAnsi="Times New Roman" w:cs="Times New Roman"/>
          <w:b/>
          <w:i/>
          <w:sz w:val="24"/>
          <w:szCs w:val="24"/>
        </w:rPr>
        <w:t>Step 2 d</w:t>
      </w:r>
      <w:r w:rsidR="002D74FC" w:rsidRPr="00D31421">
        <w:rPr>
          <w:rFonts w:ascii="Times New Roman" w:hAnsi="Times New Roman" w:cs="Times New Roman"/>
          <w:b/>
          <w:i/>
          <w:sz w:val="24"/>
          <w:szCs w:val="24"/>
        </w:rPr>
        <w:t>iscussion began with identifying categories of needs:</w:t>
      </w:r>
      <w:r w:rsidR="002D74FC">
        <w:rPr>
          <w:rFonts w:ascii="Times New Roman" w:hAnsi="Times New Roman" w:cs="Times New Roman"/>
          <w:sz w:val="24"/>
          <w:szCs w:val="24"/>
        </w:rPr>
        <w:t xml:space="preserve">  Awareness, Funding, Availability, Access, Safety, Crisis Services, Prevention/Intervention, Employment, Success in School, Success in the local community with support</w:t>
      </w:r>
      <w:r>
        <w:rPr>
          <w:rFonts w:ascii="Times New Roman" w:hAnsi="Times New Roman" w:cs="Times New Roman"/>
          <w:sz w:val="24"/>
          <w:szCs w:val="24"/>
        </w:rPr>
        <w:t>,</w:t>
      </w:r>
      <w:r w:rsidR="002D74FC">
        <w:rPr>
          <w:rFonts w:ascii="Times New Roman" w:hAnsi="Times New Roman" w:cs="Times New Roman"/>
          <w:sz w:val="24"/>
          <w:szCs w:val="24"/>
        </w:rPr>
        <w:t xml:space="preserve"> </w:t>
      </w:r>
      <w:r>
        <w:rPr>
          <w:rFonts w:ascii="Times New Roman" w:hAnsi="Times New Roman" w:cs="Times New Roman"/>
          <w:sz w:val="24"/>
          <w:szCs w:val="24"/>
        </w:rPr>
        <w:t>s</w:t>
      </w:r>
      <w:r w:rsidR="002D74FC">
        <w:rPr>
          <w:rFonts w:ascii="Times New Roman" w:hAnsi="Times New Roman" w:cs="Times New Roman"/>
          <w:sz w:val="24"/>
          <w:szCs w:val="24"/>
        </w:rPr>
        <w:t>trengthen</w:t>
      </w:r>
      <w:r w:rsidR="00C87DC4">
        <w:rPr>
          <w:rFonts w:ascii="Times New Roman" w:hAnsi="Times New Roman" w:cs="Times New Roman"/>
          <w:sz w:val="24"/>
          <w:szCs w:val="24"/>
        </w:rPr>
        <w:t>ing</w:t>
      </w:r>
      <w:r w:rsidR="002D74FC">
        <w:rPr>
          <w:rFonts w:ascii="Times New Roman" w:hAnsi="Times New Roman" w:cs="Times New Roman"/>
          <w:sz w:val="24"/>
          <w:szCs w:val="24"/>
        </w:rPr>
        <w:t xml:space="preserve"> youth through community, life skills, children, adults, transitional age youth behavioral health, developmental disability, addictive disorders, gambling, </w:t>
      </w:r>
      <w:r>
        <w:rPr>
          <w:rFonts w:ascii="Times New Roman" w:hAnsi="Times New Roman" w:cs="Times New Roman"/>
          <w:sz w:val="24"/>
          <w:szCs w:val="24"/>
        </w:rPr>
        <w:t>housing, compulsive gambling, reclassification of DSM V placing addictions under Impulse control, intensive outpatient, suicide prevention, funding per diem $115 residential.  Louisiana Association of Compulsive Gambling: 1. State legislature funds; 2. Reissuing the contracted funding basis at C.O.R.E. Children &amp; Youth Planning Boards, Reduce juvenile incarceration. Integrate services in school mental health.</w:t>
      </w:r>
    </w:p>
    <w:p w:rsidR="00D31421" w:rsidRPr="002D74FC" w:rsidRDefault="00D31421" w:rsidP="00070728">
      <w:pPr>
        <w:spacing w:after="100" w:afterAutospacing="1"/>
        <w:jc w:val="both"/>
        <w:rPr>
          <w:rFonts w:ascii="Times New Roman" w:hAnsi="Times New Roman" w:cs="Times New Roman"/>
          <w:sz w:val="24"/>
          <w:szCs w:val="24"/>
        </w:rPr>
      </w:pPr>
      <w:r>
        <w:rPr>
          <w:rFonts w:ascii="Times New Roman" w:hAnsi="Times New Roman" w:cs="Times New Roman"/>
          <w:b/>
          <w:i/>
          <w:sz w:val="24"/>
          <w:szCs w:val="24"/>
        </w:rPr>
        <w:t xml:space="preserve">Step 3 and final step  to </w:t>
      </w:r>
      <w:r w:rsidRPr="00D31421">
        <w:rPr>
          <w:rFonts w:ascii="Times New Roman" w:hAnsi="Times New Roman" w:cs="Times New Roman"/>
          <w:b/>
          <w:i/>
          <w:sz w:val="24"/>
          <w:szCs w:val="24"/>
        </w:rPr>
        <w:t>discuss policy concerns:</w:t>
      </w:r>
      <w:r>
        <w:rPr>
          <w:rFonts w:ascii="Times New Roman" w:hAnsi="Times New Roman" w:cs="Times New Roman"/>
          <w:sz w:val="24"/>
          <w:szCs w:val="24"/>
        </w:rPr>
        <w:t xml:space="preserve">  Fund Prevention Early Intervention, increase community-based services, reduce discipline/behavior in school, increase engagement with parental support outside of school, increase employment, tutoring, assessments, aged-out students, develop a setting for academically and developmentally challenged youth.  RAC – to increase awareness and recruitment of stakeholders for appropriate membership; target yearly RAC block grant funds to promote advocacy, prevention, education, recovery and wellness.  Develop tracking system.  OBH Doctors are not able to access patients; customers aren’t able to easily locate services, need to increase access and visibility through media other than telephone book.  Need to use social media such as twitter, facebook and prominent signage. Referral is dysfunctional and need to rebuild the referral base. Emergency services for crisis situations when there is no availability of services.  Transportation is a major concern for rural areas.  Grant funding is limited.  Funding is needed to support mentoring, parenting and life skills, homeless shelter, adoption awareness, affordable recreation activities, food bank access, increase cooperation between transition services, housing for individuals with mental illness, funding for assessments through the courts, gender issue with housing availability, adult day care, toddler/infant programs, 13 years and older youth programs for developmental disability programs</w:t>
      </w:r>
    </w:p>
    <w:p w:rsidR="00D31421" w:rsidRDefault="00D31421" w:rsidP="00FF5607">
      <w:pPr>
        <w:spacing w:after="100" w:afterAutospacing="1"/>
        <w:jc w:val="both"/>
        <w:rPr>
          <w:rFonts w:ascii="Times New Roman" w:hAnsi="Times New Roman" w:cs="Times New Roman"/>
          <w:b/>
        </w:rPr>
      </w:pPr>
      <w:r>
        <w:rPr>
          <w:rFonts w:ascii="Times New Roman" w:hAnsi="Times New Roman" w:cs="Times New Roman"/>
          <w:b/>
        </w:rPr>
        <w:t>Finalization of</w:t>
      </w:r>
      <w:r w:rsidR="00701A85">
        <w:rPr>
          <w:rFonts w:ascii="Times New Roman" w:hAnsi="Times New Roman" w:cs="Times New Roman"/>
          <w:b/>
        </w:rPr>
        <w:t xml:space="preserve"> Draft</w:t>
      </w:r>
      <w:r>
        <w:rPr>
          <w:rFonts w:ascii="Times New Roman" w:hAnsi="Times New Roman" w:cs="Times New Roman"/>
          <w:b/>
        </w:rPr>
        <w:t xml:space="preserve"> ENDS </w:t>
      </w:r>
      <w:r w:rsidR="00701A85">
        <w:rPr>
          <w:rFonts w:ascii="Times New Roman" w:hAnsi="Times New Roman" w:cs="Times New Roman"/>
          <w:b/>
        </w:rPr>
        <w:t>Statements</w:t>
      </w:r>
      <w:r>
        <w:rPr>
          <w:rFonts w:ascii="Times New Roman" w:hAnsi="Times New Roman" w:cs="Times New Roman"/>
          <w:b/>
        </w:rPr>
        <w:t xml:space="preserve"> as follows: </w:t>
      </w:r>
    </w:p>
    <w:p w:rsidR="007A7347" w:rsidRPr="00701A85" w:rsidRDefault="00C87DC4" w:rsidP="00701A85">
      <w:pPr>
        <w:numPr>
          <w:ilvl w:val="0"/>
          <w:numId w:val="10"/>
        </w:numPr>
        <w:spacing w:after="100" w:afterAutospacing="1"/>
        <w:jc w:val="both"/>
        <w:rPr>
          <w:rFonts w:ascii="Times New Roman" w:hAnsi="Times New Roman" w:cs="Times New Roman"/>
        </w:rPr>
      </w:pPr>
      <w:r w:rsidRPr="00701A85">
        <w:rPr>
          <w:rFonts w:ascii="Times New Roman" w:hAnsi="Times New Roman" w:cs="Times New Roman"/>
        </w:rPr>
        <w:t>Northwest Louisiana Human Service District</w:t>
      </w:r>
      <w:r w:rsidR="00701A85" w:rsidRPr="00701A85">
        <w:rPr>
          <w:rFonts w:ascii="Times New Roman" w:hAnsi="Times New Roman" w:cs="Times New Roman"/>
        </w:rPr>
        <w:t xml:space="preserve"> </w:t>
      </w:r>
      <w:r>
        <w:rPr>
          <w:rFonts w:ascii="Times New Roman" w:hAnsi="Times New Roman" w:cs="Times New Roman"/>
        </w:rPr>
        <w:t>e</w:t>
      </w:r>
      <w:r w:rsidRPr="00701A85">
        <w:rPr>
          <w:rFonts w:ascii="Times New Roman" w:hAnsi="Times New Roman" w:cs="Times New Roman"/>
        </w:rPr>
        <w:t>xists so that citizens with mental health, addictions and development</w:t>
      </w:r>
      <w:r>
        <w:rPr>
          <w:rFonts w:ascii="Times New Roman" w:hAnsi="Times New Roman" w:cs="Times New Roman"/>
        </w:rPr>
        <w:t>al</w:t>
      </w:r>
      <w:r w:rsidRPr="00701A85">
        <w:rPr>
          <w:rFonts w:ascii="Times New Roman" w:hAnsi="Times New Roman" w:cs="Times New Roman"/>
        </w:rPr>
        <w:t xml:space="preserve"> challenges residing in the parishes of Bienville, Bossier, Caddo, Claiborne, DeSoto, </w:t>
      </w:r>
      <w:r w:rsidRPr="00701A85">
        <w:rPr>
          <w:rFonts w:ascii="Times New Roman" w:hAnsi="Times New Roman" w:cs="Times New Roman"/>
        </w:rPr>
        <w:lastRenderedPageBreak/>
        <w:t xml:space="preserve">Natchitoches, Red River, Sabine and Webster are empowered, and self-determination is valued such that individuals live a satisfying,  hopeful, and contributing life. </w:t>
      </w:r>
    </w:p>
    <w:p w:rsidR="007A7347" w:rsidRPr="00701A85" w:rsidRDefault="00701A85" w:rsidP="00701A85">
      <w:pPr>
        <w:numPr>
          <w:ilvl w:val="0"/>
          <w:numId w:val="10"/>
        </w:numPr>
        <w:spacing w:after="100" w:afterAutospacing="1"/>
        <w:jc w:val="both"/>
        <w:rPr>
          <w:rFonts w:ascii="Times New Roman" w:hAnsi="Times New Roman" w:cs="Times New Roman"/>
        </w:rPr>
      </w:pPr>
      <w:r w:rsidRPr="00701A85">
        <w:rPr>
          <w:rFonts w:ascii="Times New Roman" w:hAnsi="Times New Roman" w:cs="Times New Roman"/>
        </w:rPr>
        <w:t xml:space="preserve">1. </w:t>
      </w:r>
      <w:r w:rsidR="00C87DC4" w:rsidRPr="00701A85">
        <w:rPr>
          <w:rFonts w:ascii="Times New Roman" w:hAnsi="Times New Roman" w:cs="Times New Roman"/>
        </w:rPr>
        <w:t xml:space="preserve">Northwest Louisiana Human Service District (NLHSD) governing board will be accountable to its “Owners” (stakeholders, persons served, ADVOCATES, PARTNERING PROVIDERS, THE COMMUNITY  at large, etc.) establishing trust, a spirit of collaboration and confidence. </w:t>
      </w:r>
    </w:p>
    <w:p w:rsidR="007A7347" w:rsidRPr="00701A85" w:rsidRDefault="00701A85" w:rsidP="00701A85">
      <w:pPr>
        <w:numPr>
          <w:ilvl w:val="0"/>
          <w:numId w:val="10"/>
        </w:numPr>
        <w:spacing w:after="100" w:afterAutospacing="1"/>
        <w:jc w:val="both"/>
        <w:rPr>
          <w:rFonts w:ascii="Times New Roman" w:hAnsi="Times New Roman" w:cs="Times New Roman"/>
        </w:rPr>
      </w:pPr>
      <w:r w:rsidRPr="00701A85">
        <w:rPr>
          <w:rFonts w:ascii="Times New Roman" w:hAnsi="Times New Roman" w:cs="Times New Roman"/>
        </w:rPr>
        <w:t xml:space="preserve">2. </w:t>
      </w:r>
      <w:r w:rsidR="00C87DC4" w:rsidRPr="00701A85">
        <w:rPr>
          <w:rFonts w:ascii="Times New Roman" w:hAnsi="Times New Roman" w:cs="Times New Roman"/>
        </w:rPr>
        <w:t>Individuals receiving services will have access to evidence based services that are responsive to their needs and cost effective so that;</w:t>
      </w:r>
    </w:p>
    <w:p w:rsidR="007A7347" w:rsidRPr="00701A85" w:rsidRDefault="00C87DC4" w:rsidP="00C87DC4">
      <w:pPr>
        <w:spacing w:after="100" w:afterAutospacing="1"/>
        <w:ind w:left="1080"/>
        <w:jc w:val="both"/>
        <w:rPr>
          <w:rFonts w:ascii="Times New Roman" w:hAnsi="Times New Roman" w:cs="Times New Roman"/>
        </w:rPr>
      </w:pPr>
      <w:r w:rsidRPr="00701A85">
        <w:rPr>
          <w:rFonts w:ascii="Times New Roman" w:hAnsi="Times New Roman" w:cs="Times New Roman"/>
        </w:rPr>
        <w:t>A. Individuals with acute illnesses are able to rapidly resume optimal functioning;</w:t>
      </w:r>
    </w:p>
    <w:p w:rsidR="007A7347" w:rsidRPr="00701A85" w:rsidRDefault="00C87DC4" w:rsidP="00C87DC4">
      <w:pPr>
        <w:spacing w:after="100" w:afterAutospacing="1"/>
        <w:ind w:left="1080"/>
        <w:jc w:val="both"/>
        <w:rPr>
          <w:rFonts w:ascii="Times New Roman" w:hAnsi="Times New Roman" w:cs="Times New Roman"/>
        </w:rPr>
      </w:pPr>
      <w:r w:rsidRPr="00701A85">
        <w:rPr>
          <w:rFonts w:ascii="Times New Roman" w:hAnsi="Times New Roman" w:cs="Times New Roman"/>
        </w:rPr>
        <w:t>B. Individuals with chronic illness may live in a safe environment that encourages personal growth.</w:t>
      </w:r>
    </w:p>
    <w:p w:rsidR="007A7347" w:rsidRPr="00701A85" w:rsidRDefault="00C87DC4" w:rsidP="00C87DC4">
      <w:pPr>
        <w:spacing w:after="100" w:afterAutospacing="1"/>
        <w:ind w:left="1080"/>
        <w:jc w:val="both"/>
        <w:rPr>
          <w:rFonts w:ascii="Times New Roman" w:hAnsi="Times New Roman" w:cs="Times New Roman"/>
        </w:rPr>
      </w:pPr>
      <w:r w:rsidRPr="00701A85">
        <w:rPr>
          <w:rFonts w:ascii="Times New Roman" w:hAnsi="Times New Roman" w:cs="Times New Roman"/>
        </w:rPr>
        <w:t xml:space="preserve">C. Youth, adults and family strengths are emphasized and recovery and resilience are enhanced. </w:t>
      </w:r>
    </w:p>
    <w:p w:rsidR="007A7347" w:rsidRPr="00701A85" w:rsidRDefault="00701A85" w:rsidP="00C87DC4">
      <w:pPr>
        <w:spacing w:after="100" w:afterAutospacing="1"/>
        <w:ind w:left="1080"/>
        <w:jc w:val="both"/>
        <w:rPr>
          <w:rFonts w:ascii="Times New Roman" w:hAnsi="Times New Roman" w:cs="Times New Roman"/>
        </w:rPr>
      </w:pPr>
      <w:r w:rsidRPr="00701A85">
        <w:rPr>
          <w:rFonts w:ascii="Times New Roman" w:hAnsi="Times New Roman" w:cs="Times New Roman"/>
        </w:rPr>
        <w:t xml:space="preserve">D. </w:t>
      </w:r>
      <w:r w:rsidR="00C87DC4" w:rsidRPr="00701A85">
        <w:rPr>
          <w:rFonts w:ascii="Times New Roman" w:hAnsi="Times New Roman" w:cs="Times New Roman"/>
        </w:rPr>
        <w:t>The voice of and collaboration with Individuals in the Community is enhanced.</w:t>
      </w:r>
    </w:p>
    <w:p w:rsidR="007A7347" w:rsidRPr="00701A85" w:rsidRDefault="00701A85" w:rsidP="00701A85">
      <w:pPr>
        <w:numPr>
          <w:ilvl w:val="0"/>
          <w:numId w:val="10"/>
        </w:numPr>
        <w:spacing w:after="100" w:afterAutospacing="1"/>
        <w:jc w:val="both"/>
        <w:rPr>
          <w:rFonts w:ascii="Times New Roman" w:hAnsi="Times New Roman" w:cs="Times New Roman"/>
        </w:rPr>
      </w:pPr>
      <w:r w:rsidRPr="00701A85">
        <w:rPr>
          <w:rFonts w:ascii="Times New Roman" w:hAnsi="Times New Roman" w:cs="Times New Roman"/>
        </w:rPr>
        <w:t xml:space="preserve">3. </w:t>
      </w:r>
      <w:r w:rsidR="00C87DC4" w:rsidRPr="00701A85">
        <w:rPr>
          <w:rFonts w:ascii="Times New Roman" w:hAnsi="Times New Roman" w:cs="Times New Roman"/>
        </w:rPr>
        <w:t xml:space="preserve">NLHSD will make use of best practices in implementing, evaluating, monitoring, modifying existing services so that quality is assured, services meet the needs of those served, the variety of services available adequately address the range of behavioral health issues identified, and/or that services are further developed to address service gaps and sustainability of programs. </w:t>
      </w:r>
    </w:p>
    <w:p w:rsidR="00701A85" w:rsidRPr="00701A85" w:rsidRDefault="00701A85" w:rsidP="00793E77">
      <w:pPr>
        <w:numPr>
          <w:ilvl w:val="0"/>
          <w:numId w:val="10"/>
        </w:numPr>
        <w:spacing w:after="100" w:afterAutospacing="1" w:line="240" w:lineRule="auto"/>
        <w:jc w:val="both"/>
        <w:rPr>
          <w:rFonts w:ascii="Times New Roman" w:hAnsi="Times New Roman" w:cs="Times New Roman"/>
        </w:rPr>
      </w:pPr>
      <w:r w:rsidRPr="00701A85">
        <w:rPr>
          <w:rFonts w:ascii="Times New Roman" w:hAnsi="Times New Roman" w:cs="Times New Roman"/>
        </w:rPr>
        <w:t>4. These ENDs will be achieved by maximizing the resources made available through NLHSD ‘s participation in the State Budgeting/Grant allocation process, legislative advocacy, self-generated funds through the managed care organizations, or other state resources developed through the fund raising efforts of the Authority.</w:t>
      </w:r>
    </w:p>
    <w:p w:rsidR="00D31421" w:rsidRDefault="00D31421" w:rsidP="00793E77">
      <w:pPr>
        <w:spacing w:after="100" w:afterAutospacing="1" w:line="240" w:lineRule="auto"/>
        <w:jc w:val="both"/>
        <w:rPr>
          <w:rFonts w:ascii="Times New Roman" w:hAnsi="Times New Roman" w:cs="Times New Roman"/>
          <w:b/>
        </w:rPr>
      </w:pPr>
      <w:r>
        <w:rPr>
          <w:rFonts w:ascii="Times New Roman" w:hAnsi="Times New Roman" w:cs="Times New Roman"/>
          <w:b/>
        </w:rPr>
        <w:t>Moved by Camara, 2</w:t>
      </w:r>
      <w:r w:rsidRPr="00D31421">
        <w:rPr>
          <w:rFonts w:ascii="Times New Roman" w:hAnsi="Times New Roman" w:cs="Times New Roman"/>
          <w:b/>
          <w:vertAlign w:val="superscript"/>
        </w:rPr>
        <w:t>nd</w:t>
      </w:r>
      <w:r>
        <w:rPr>
          <w:rFonts w:ascii="Times New Roman" w:hAnsi="Times New Roman" w:cs="Times New Roman"/>
          <w:b/>
        </w:rPr>
        <w:t xml:space="preserve"> by Fowler to adopt the </w:t>
      </w:r>
      <w:r w:rsidR="00793E77">
        <w:rPr>
          <w:rFonts w:ascii="Times New Roman" w:hAnsi="Times New Roman" w:cs="Times New Roman"/>
          <w:b/>
        </w:rPr>
        <w:t xml:space="preserve">Draft </w:t>
      </w:r>
      <w:r>
        <w:rPr>
          <w:rFonts w:ascii="Times New Roman" w:hAnsi="Times New Roman" w:cs="Times New Roman"/>
          <w:b/>
        </w:rPr>
        <w:t>ENDS Statements.   Unanimously approved.</w:t>
      </w:r>
    </w:p>
    <w:p w:rsidR="00D31421" w:rsidRPr="00793E77" w:rsidRDefault="00D31421" w:rsidP="00FF5607">
      <w:pPr>
        <w:spacing w:after="100" w:afterAutospacing="1"/>
        <w:jc w:val="both"/>
        <w:rPr>
          <w:rFonts w:ascii="Times New Roman" w:hAnsi="Times New Roman" w:cs="Times New Roman"/>
        </w:rPr>
      </w:pPr>
      <w:r>
        <w:rPr>
          <w:rFonts w:ascii="Times New Roman" w:hAnsi="Times New Roman" w:cs="Times New Roman"/>
          <w:b/>
        </w:rPr>
        <w:t>Workplan Strat</w:t>
      </w:r>
      <w:r w:rsidR="00793E77">
        <w:rPr>
          <w:rFonts w:ascii="Times New Roman" w:hAnsi="Times New Roman" w:cs="Times New Roman"/>
          <w:b/>
        </w:rPr>
        <w:t>e</w:t>
      </w:r>
      <w:r>
        <w:rPr>
          <w:rFonts w:ascii="Times New Roman" w:hAnsi="Times New Roman" w:cs="Times New Roman"/>
          <w:b/>
        </w:rPr>
        <w:t>gies Objectives 1-3 (discussion and input)</w:t>
      </w:r>
      <w:r w:rsidR="00793E77">
        <w:rPr>
          <w:rFonts w:ascii="Times New Roman" w:hAnsi="Times New Roman" w:cs="Times New Roman"/>
          <w:b/>
        </w:rPr>
        <w:t xml:space="preserve"> – </w:t>
      </w:r>
      <w:r w:rsidR="00793E77" w:rsidRPr="00793E77">
        <w:rPr>
          <w:rFonts w:ascii="Times New Roman" w:hAnsi="Times New Roman" w:cs="Times New Roman"/>
        </w:rPr>
        <w:t>The following was completed by the Board and the Executive Director and electronic copy will be forwarded to all Board members.</w:t>
      </w:r>
    </w:p>
    <w:tbl>
      <w:tblPr>
        <w:tblStyle w:val="TableGrid"/>
        <w:tblW w:w="0" w:type="auto"/>
        <w:tblLook w:val="04A0" w:firstRow="1" w:lastRow="0" w:firstColumn="1" w:lastColumn="0" w:noHBand="0" w:noVBand="1"/>
      </w:tblPr>
      <w:tblGrid>
        <w:gridCol w:w="4645"/>
        <w:gridCol w:w="4471"/>
        <w:gridCol w:w="1036"/>
      </w:tblGrid>
      <w:tr w:rsidR="00793E77" w:rsidRPr="009D513C" w:rsidTr="006C534B">
        <w:tc>
          <w:tcPr>
            <w:tcW w:w="11016" w:type="dxa"/>
            <w:gridSpan w:val="3"/>
          </w:tcPr>
          <w:p w:rsidR="00793E77" w:rsidRPr="009D513C" w:rsidRDefault="00793E77" w:rsidP="006C534B">
            <w:pPr>
              <w:rPr>
                <w:rFonts w:ascii="Garamond" w:hAnsi="Garamond"/>
              </w:rPr>
            </w:pPr>
            <w:r w:rsidRPr="000E61EC">
              <w:rPr>
                <w:rFonts w:ascii="Garamond" w:hAnsi="Garamond"/>
                <w:b/>
              </w:rPr>
              <w:t xml:space="preserve">Objective </w:t>
            </w:r>
            <w:r>
              <w:rPr>
                <w:rFonts w:ascii="Garamond" w:hAnsi="Garamond"/>
                <w:b/>
              </w:rPr>
              <w:t>1</w:t>
            </w:r>
            <w:r w:rsidRPr="000E61EC">
              <w:rPr>
                <w:rFonts w:ascii="Garamond" w:hAnsi="Garamond"/>
                <w:b/>
              </w:rPr>
              <w:t xml:space="preserve"> :</w:t>
            </w:r>
            <w:r>
              <w:rPr>
                <w:rFonts w:ascii="Garamond" w:hAnsi="Garamond"/>
                <w:b/>
              </w:rPr>
              <w:t xml:space="preserve">  </w:t>
            </w:r>
            <w:r>
              <w:rPr>
                <w:rFonts w:ascii="Garamond" w:hAnsi="Garamond"/>
              </w:rPr>
              <w:t xml:space="preserve"> Maintain progress made during Phase I – bylaws, governance policy manual, board development.</w:t>
            </w:r>
          </w:p>
        </w:tc>
      </w:tr>
      <w:tr w:rsidR="00793E77" w:rsidRPr="009D513C" w:rsidTr="006C534B">
        <w:tc>
          <w:tcPr>
            <w:tcW w:w="11016" w:type="dxa"/>
            <w:gridSpan w:val="3"/>
            <w:tcBorders>
              <w:bottom w:val="single" w:sz="4" w:space="0" w:color="auto"/>
            </w:tcBorders>
          </w:tcPr>
          <w:p w:rsidR="00793E77" w:rsidRPr="009D513C" w:rsidRDefault="00793E77" w:rsidP="006C534B">
            <w:pPr>
              <w:rPr>
                <w:rFonts w:ascii="Garamond" w:hAnsi="Garamond"/>
              </w:rPr>
            </w:pPr>
            <w:r w:rsidRPr="000E61EC">
              <w:rPr>
                <w:rFonts w:ascii="Garamond" w:hAnsi="Garamond"/>
                <w:b/>
              </w:rPr>
              <w:t>Aligns with:</w:t>
            </w:r>
            <w:r>
              <w:rPr>
                <w:rFonts w:ascii="Garamond" w:hAnsi="Garamond"/>
              </w:rPr>
              <w:t xml:space="preserve"> Policy Governance principles, Governance Policies (Manual), Phase I &amp; II expectations for Board development.</w:t>
            </w:r>
          </w:p>
        </w:tc>
      </w:tr>
      <w:tr w:rsidR="00793E77" w:rsidRPr="009D513C" w:rsidTr="006C534B">
        <w:tc>
          <w:tcPr>
            <w:tcW w:w="5043" w:type="dxa"/>
            <w:shd w:val="clear" w:color="auto" w:fill="C0C0C0"/>
          </w:tcPr>
          <w:p w:rsidR="00793E77" w:rsidRPr="000E61EC" w:rsidRDefault="00793E77" w:rsidP="006C534B">
            <w:pPr>
              <w:rPr>
                <w:rFonts w:ascii="Garamond" w:hAnsi="Garamond"/>
                <w:b/>
              </w:rPr>
            </w:pPr>
            <w:r w:rsidRPr="000E61EC">
              <w:rPr>
                <w:rFonts w:ascii="Garamond" w:hAnsi="Garamond"/>
                <w:b/>
              </w:rPr>
              <w:t>Strategy</w:t>
            </w:r>
          </w:p>
        </w:tc>
        <w:tc>
          <w:tcPr>
            <w:tcW w:w="4888" w:type="dxa"/>
            <w:shd w:val="clear" w:color="auto" w:fill="C0C0C0"/>
          </w:tcPr>
          <w:p w:rsidR="00793E77" w:rsidRPr="000E61EC" w:rsidRDefault="00793E77" w:rsidP="006C534B">
            <w:pPr>
              <w:rPr>
                <w:rFonts w:ascii="Garamond" w:hAnsi="Garamond"/>
                <w:b/>
              </w:rPr>
            </w:pPr>
            <w:r w:rsidRPr="000E61EC">
              <w:rPr>
                <w:rFonts w:ascii="Garamond" w:hAnsi="Garamond"/>
                <w:b/>
              </w:rPr>
              <w:t>Action</w:t>
            </w:r>
          </w:p>
        </w:tc>
        <w:tc>
          <w:tcPr>
            <w:tcW w:w="1085" w:type="dxa"/>
            <w:shd w:val="clear" w:color="auto" w:fill="C0C0C0"/>
          </w:tcPr>
          <w:p w:rsidR="00793E77" w:rsidRPr="000E61EC" w:rsidRDefault="00793E77" w:rsidP="006C534B">
            <w:pPr>
              <w:rPr>
                <w:rFonts w:ascii="Garamond" w:hAnsi="Garamond"/>
                <w:b/>
              </w:rPr>
            </w:pPr>
            <w:r w:rsidRPr="000E61EC">
              <w:rPr>
                <w:rFonts w:ascii="Garamond" w:hAnsi="Garamond"/>
                <w:b/>
              </w:rPr>
              <w:t>Date</w:t>
            </w:r>
          </w:p>
        </w:tc>
      </w:tr>
      <w:tr w:rsidR="00793E77" w:rsidRPr="009D513C" w:rsidTr="006C534B">
        <w:tc>
          <w:tcPr>
            <w:tcW w:w="5043" w:type="dxa"/>
          </w:tcPr>
          <w:p w:rsidR="00793E77" w:rsidRPr="000453FA" w:rsidRDefault="00793E77" w:rsidP="006C534B">
            <w:pPr>
              <w:rPr>
                <w:rFonts w:ascii="Garamond" w:hAnsi="Garamond"/>
              </w:rPr>
            </w:pPr>
            <w:r w:rsidRPr="000453FA">
              <w:rPr>
                <w:rFonts w:ascii="Garamond" w:hAnsi="Garamond"/>
              </w:rPr>
              <w:t>1.</w:t>
            </w:r>
            <w:r>
              <w:rPr>
                <w:rFonts w:ascii="Garamond" w:hAnsi="Garamond"/>
              </w:rPr>
              <w:t xml:space="preserve"> </w:t>
            </w:r>
            <w:r w:rsidRPr="000453FA">
              <w:rPr>
                <w:rFonts w:ascii="Garamond" w:hAnsi="Garamond"/>
              </w:rPr>
              <w:t>Review bylaws to determine need for amendments assuring competent self</w:t>
            </w:r>
            <w:r>
              <w:rPr>
                <w:rFonts w:ascii="Garamond" w:hAnsi="Garamond"/>
              </w:rPr>
              <w:t>-</w:t>
            </w:r>
            <w:r w:rsidRPr="000453FA">
              <w:rPr>
                <w:rFonts w:ascii="Garamond" w:hAnsi="Garamond"/>
              </w:rPr>
              <w:t>governance. (Board Self-monitoring process)</w:t>
            </w:r>
          </w:p>
        </w:tc>
        <w:tc>
          <w:tcPr>
            <w:tcW w:w="4888" w:type="dxa"/>
          </w:tcPr>
          <w:p w:rsidR="00793E77" w:rsidRPr="009D513C" w:rsidRDefault="00793E77" w:rsidP="006C534B">
            <w:pPr>
              <w:rPr>
                <w:rFonts w:ascii="Garamond" w:hAnsi="Garamond"/>
              </w:rPr>
            </w:pPr>
            <w:r>
              <w:rPr>
                <w:rFonts w:ascii="Garamond" w:hAnsi="Garamond"/>
              </w:rPr>
              <w:t>Bylaws amended on 6-20-12 and 7-18-12.  Board Self-Monitoring process established in June, 2012 and ongoing monthly.</w:t>
            </w:r>
          </w:p>
        </w:tc>
        <w:tc>
          <w:tcPr>
            <w:tcW w:w="1085" w:type="dxa"/>
          </w:tcPr>
          <w:p w:rsidR="00793E77" w:rsidRPr="009D513C" w:rsidRDefault="00793E77" w:rsidP="006C534B">
            <w:pPr>
              <w:rPr>
                <w:rFonts w:ascii="Garamond" w:hAnsi="Garamond"/>
              </w:rPr>
            </w:pPr>
            <w:r>
              <w:rPr>
                <w:rFonts w:ascii="Garamond" w:hAnsi="Garamond"/>
              </w:rPr>
              <w:t>7-18-12</w:t>
            </w:r>
          </w:p>
        </w:tc>
      </w:tr>
      <w:tr w:rsidR="00793E77" w:rsidRPr="009D513C" w:rsidTr="006C534B">
        <w:tc>
          <w:tcPr>
            <w:tcW w:w="5043" w:type="dxa"/>
          </w:tcPr>
          <w:p w:rsidR="00793E77" w:rsidRPr="009D513C" w:rsidRDefault="00793E77" w:rsidP="006C534B">
            <w:pPr>
              <w:rPr>
                <w:rFonts w:ascii="Garamond" w:hAnsi="Garamond"/>
              </w:rPr>
            </w:pPr>
            <w:r w:rsidRPr="009D513C">
              <w:rPr>
                <w:rFonts w:ascii="Garamond" w:hAnsi="Garamond"/>
              </w:rPr>
              <w:t>2.</w:t>
            </w:r>
            <w:r>
              <w:rPr>
                <w:rFonts w:ascii="Garamond" w:hAnsi="Garamond"/>
              </w:rPr>
              <w:t xml:space="preserve"> Review and modify as necessary Governance policies to ensure clarity in Executive Limitations, Governance Process, and Board – Executive communications. (Maintain adherence to agenda calendar)</w:t>
            </w:r>
          </w:p>
        </w:tc>
        <w:tc>
          <w:tcPr>
            <w:tcW w:w="4888" w:type="dxa"/>
          </w:tcPr>
          <w:p w:rsidR="00793E77" w:rsidRPr="009D513C" w:rsidRDefault="00793E77" w:rsidP="006C534B">
            <w:pPr>
              <w:rPr>
                <w:rFonts w:ascii="Garamond" w:hAnsi="Garamond"/>
              </w:rPr>
            </w:pPr>
            <w:r>
              <w:rPr>
                <w:rFonts w:ascii="Garamond" w:hAnsi="Garamond"/>
              </w:rPr>
              <w:t>Policies adopted on 2-6-12.  Amendment currently being considered for public comment.  Board Self-Monitoring process established in June, 2012 and ongoing monthly.</w:t>
            </w:r>
          </w:p>
        </w:tc>
        <w:tc>
          <w:tcPr>
            <w:tcW w:w="1085" w:type="dxa"/>
          </w:tcPr>
          <w:p w:rsidR="00793E77" w:rsidRPr="009D513C" w:rsidRDefault="00793E77" w:rsidP="006C534B">
            <w:pPr>
              <w:rPr>
                <w:rFonts w:ascii="Garamond" w:hAnsi="Garamond"/>
              </w:rPr>
            </w:pPr>
            <w:r>
              <w:rPr>
                <w:rFonts w:ascii="Garamond" w:hAnsi="Garamond"/>
              </w:rPr>
              <w:t>2-6-12</w:t>
            </w:r>
          </w:p>
        </w:tc>
      </w:tr>
      <w:tr w:rsidR="00793E77" w:rsidRPr="009D513C" w:rsidTr="006C534B">
        <w:tc>
          <w:tcPr>
            <w:tcW w:w="5043" w:type="dxa"/>
          </w:tcPr>
          <w:p w:rsidR="00793E77" w:rsidRPr="009D513C" w:rsidRDefault="00793E77" w:rsidP="006C534B">
            <w:pPr>
              <w:rPr>
                <w:rFonts w:ascii="Garamond" w:hAnsi="Garamond"/>
              </w:rPr>
            </w:pPr>
            <w:r>
              <w:rPr>
                <w:rFonts w:ascii="Garamond" w:hAnsi="Garamond"/>
              </w:rPr>
              <w:t>3. Review, implement, modify, finalize Board recruitment, orientation, succession planning process.</w:t>
            </w:r>
          </w:p>
        </w:tc>
        <w:tc>
          <w:tcPr>
            <w:tcW w:w="4888" w:type="dxa"/>
          </w:tcPr>
          <w:p w:rsidR="00793E77" w:rsidRPr="009D513C" w:rsidRDefault="00793E77" w:rsidP="006C534B">
            <w:pPr>
              <w:rPr>
                <w:rFonts w:ascii="Garamond" w:hAnsi="Garamond"/>
              </w:rPr>
            </w:pPr>
            <w:r>
              <w:rPr>
                <w:rFonts w:ascii="Garamond" w:hAnsi="Garamond"/>
              </w:rPr>
              <w:t>Board orientation checklist finalized in 3-26-12.  Board policy on recruitment and succession finalized on 2-6-12</w:t>
            </w:r>
          </w:p>
        </w:tc>
        <w:tc>
          <w:tcPr>
            <w:tcW w:w="1085" w:type="dxa"/>
          </w:tcPr>
          <w:p w:rsidR="00793E77" w:rsidRPr="009D513C" w:rsidRDefault="00793E77" w:rsidP="006C534B">
            <w:pPr>
              <w:rPr>
                <w:rFonts w:ascii="Garamond" w:hAnsi="Garamond"/>
              </w:rPr>
            </w:pPr>
            <w:r>
              <w:rPr>
                <w:rFonts w:ascii="Garamond" w:hAnsi="Garamond"/>
              </w:rPr>
              <w:t>3-26-12</w:t>
            </w:r>
          </w:p>
        </w:tc>
      </w:tr>
      <w:tr w:rsidR="00793E77" w:rsidRPr="009D513C" w:rsidTr="006C534B">
        <w:tc>
          <w:tcPr>
            <w:tcW w:w="5043" w:type="dxa"/>
          </w:tcPr>
          <w:p w:rsidR="00793E77" w:rsidRPr="009D513C" w:rsidRDefault="00793E77" w:rsidP="006C534B">
            <w:pPr>
              <w:rPr>
                <w:rFonts w:ascii="Garamond" w:hAnsi="Garamond"/>
              </w:rPr>
            </w:pPr>
            <w:r>
              <w:rPr>
                <w:rFonts w:ascii="Garamond" w:hAnsi="Garamond"/>
              </w:rPr>
              <w:t>4. Assure documentation of all Board decisions, actions.</w:t>
            </w:r>
          </w:p>
        </w:tc>
        <w:tc>
          <w:tcPr>
            <w:tcW w:w="4888" w:type="dxa"/>
          </w:tcPr>
          <w:p w:rsidR="00793E77" w:rsidRPr="009D513C" w:rsidRDefault="00793E77" w:rsidP="006C534B">
            <w:pPr>
              <w:rPr>
                <w:rFonts w:ascii="Garamond" w:hAnsi="Garamond"/>
              </w:rPr>
            </w:pPr>
            <w:r>
              <w:rPr>
                <w:rFonts w:ascii="Garamond" w:hAnsi="Garamond"/>
              </w:rPr>
              <w:t xml:space="preserve">Secretary generated and maintained records at personal residence. Centralized board documents at District office on Knight street on 3-18-13 and ongoing. </w:t>
            </w:r>
          </w:p>
        </w:tc>
        <w:tc>
          <w:tcPr>
            <w:tcW w:w="1085" w:type="dxa"/>
          </w:tcPr>
          <w:p w:rsidR="00793E77" w:rsidRPr="009D513C" w:rsidRDefault="00793E77" w:rsidP="006C534B">
            <w:pPr>
              <w:rPr>
                <w:rFonts w:ascii="Garamond" w:hAnsi="Garamond"/>
              </w:rPr>
            </w:pPr>
            <w:r>
              <w:rPr>
                <w:rFonts w:ascii="Garamond" w:hAnsi="Garamond"/>
              </w:rPr>
              <w:t>3-18-13</w:t>
            </w:r>
          </w:p>
        </w:tc>
      </w:tr>
      <w:tr w:rsidR="00793E77" w:rsidRPr="009D513C" w:rsidTr="006C534B">
        <w:tc>
          <w:tcPr>
            <w:tcW w:w="5043" w:type="dxa"/>
          </w:tcPr>
          <w:p w:rsidR="00793E77" w:rsidRPr="009D513C" w:rsidRDefault="00793E77" w:rsidP="006C534B">
            <w:pPr>
              <w:rPr>
                <w:rFonts w:ascii="Garamond" w:hAnsi="Garamond"/>
              </w:rPr>
            </w:pPr>
            <w:r>
              <w:rPr>
                <w:rFonts w:ascii="Garamond" w:hAnsi="Garamond"/>
              </w:rPr>
              <w:lastRenderedPageBreak/>
              <w:t>5. Develop training calendar, needs assessment, resources, for ongoing Board development. (eg., Roberts Rules, Policy Governance, Policy Development, Open Meetings law, etc.)</w:t>
            </w:r>
          </w:p>
        </w:tc>
        <w:tc>
          <w:tcPr>
            <w:tcW w:w="4888" w:type="dxa"/>
          </w:tcPr>
          <w:p w:rsidR="00793E77" w:rsidRPr="009D513C" w:rsidRDefault="00793E77" w:rsidP="006C534B">
            <w:pPr>
              <w:rPr>
                <w:rFonts w:ascii="Garamond" w:hAnsi="Garamond"/>
              </w:rPr>
            </w:pPr>
            <w:r w:rsidRPr="00793E77">
              <w:rPr>
                <w:rFonts w:ascii="Garamond" w:hAnsi="Garamond"/>
              </w:rPr>
              <w:t>Send training events to Njeri to compile.</w:t>
            </w:r>
          </w:p>
        </w:tc>
        <w:tc>
          <w:tcPr>
            <w:tcW w:w="1085" w:type="dxa"/>
          </w:tcPr>
          <w:p w:rsidR="00793E77" w:rsidRPr="009D513C" w:rsidRDefault="00793E77" w:rsidP="006C534B">
            <w:pPr>
              <w:rPr>
                <w:rFonts w:ascii="Garamond" w:hAnsi="Garamond"/>
              </w:rPr>
            </w:pPr>
          </w:p>
        </w:tc>
      </w:tr>
      <w:tr w:rsidR="00793E77" w:rsidRPr="009D513C" w:rsidTr="006C534B">
        <w:tc>
          <w:tcPr>
            <w:tcW w:w="5043" w:type="dxa"/>
          </w:tcPr>
          <w:p w:rsidR="00793E77" w:rsidRPr="009D513C" w:rsidRDefault="00793E77" w:rsidP="006C534B">
            <w:pPr>
              <w:rPr>
                <w:rFonts w:ascii="Garamond" w:hAnsi="Garamond"/>
              </w:rPr>
            </w:pPr>
            <w:r>
              <w:rPr>
                <w:rFonts w:ascii="Garamond" w:hAnsi="Garamond"/>
              </w:rPr>
              <w:t>6. Implement Board Self-Monitoring Process.</w:t>
            </w:r>
          </w:p>
        </w:tc>
        <w:tc>
          <w:tcPr>
            <w:tcW w:w="4888" w:type="dxa"/>
          </w:tcPr>
          <w:p w:rsidR="00793E77" w:rsidRPr="009D513C" w:rsidRDefault="00793E77" w:rsidP="006C534B">
            <w:pPr>
              <w:rPr>
                <w:rFonts w:ascii="Garamond" w:hAnsi="Garamond"/>
              </w:rPr>
            </w:pPr>
            <w:r>
              <w:rPr>
                <w:rFonts w:ascii="Garamond" w:hAnsi="Garamond"/>
              </w:rPr>
              <w:t xml:space="preserve">Implemented self-monitoring tool on 6-20-12.  Re-established Board Compliance Monitoring Tool on 5-20-13.  </w:t>
            </w:r>
          </w:p>
        </w:tc>
        <w:tc>
          <w:tcPr>
            <w:tcW w:w="1085" w:type="dxa"/>
          </w:tcPr>
          <w:p w:rsidR="00793E77" w:rsidRPr="009D513C" w:rsidRDefault="00793E77" w:rsidP="006C534B">
            <w:pPr>
              <w:rPr>
                <w:rFonts w:ascii="Garamond" w:hAnsi="Garamond"/>
              </w:rPr>
            </w:pPr>
          </w:p>
        </w:tc>
      </w:tr>
    </w:tbl>
    <w:tbl>
      <w:tblPr>
        <w:tblStyle w:val="TableGrid1"/>
        <w:tblW w:w="10188" w:type="dxa"/>
        <w:tblLayout w:type="fixed"/>
        <w:tblLook w:val="04A0" w:firstRow="1" w:lastRow="0" w:firstColumn="1" w:lastColumn="0" w:noHBand="0" w:noVBand="1"/>
      </w:tblPr>
      <w:tblGrid>
        <w:gridCol w:w="5071"/>
        <w:gridCol w:w="4127"/>
        <w:gridCol w:w="990"/>
      </w:tblGrid>
      <w:tr w:rsidR="00793E77" w:rsidRPr="009D513C" w:rsidTr="00793E77">
        <w:tc>
          <w:tcPr>
            <w:tcW w:w="10188" w:type="dxa"/>
            <w:gridSpan w:val="3"/>
          </w:tcPr>
          <w:p w:rsidR="00793E77" w:rsidRPr="009D513C" w:rsidRDefault="00793E77" w:rsidP="006C534B">
            <w:pPr>
              <w:rPr>
                <w:rFonts w:ascii="Garamond" w:hAnsi="Garamond"/>
              </w:rPr>
            </w:pPr>
            <w:r w:rsidRPr="000E61EC">
              <w:rPr>
                <w:rFonts w:ascii="Garamond" w:hAnsi="Garamond"/>
                <w:b/>
              </w:rPr>
              <w:t xml:space="preserve">Objective </w:t>
            </w:r>
            <w:r>
              <w:rPr>
                <w:rFonts w:ascii="Garamond" w:hAnsi="Garamond"/>
                <w:b/>
              </w:rPr>
              <w:t>2</w:t>
            </w:r>
            <w:r w:rsidRPr="000E61EC">
              <w:rPr>
                <w:rFonts w:ascii="Garamond" w:hAnsi="Garamond"/>
                <w:b/>
              </w:rPr>
              <w:t xml:space="preserve"> :</w:t>
            </w:r>
            <w:r>
              <w:rPr>
                <w:rFonts w:ascii="Garamond" w:hAnsi="Garamond"/>
                <w:b/>
              </w:rPr>
              <w:t xml:space="preserve">  </w:t>
            </w:r>
            <w:r>
              <w:rPr>
                <w:rFonts w:ascii="Garamond" w:hAnsi="Garamond"/>
              </w:rPr>
              <w:t xml:space="preserve"> Clarify Board Expectations and specific Job duties, evaluation of performance for the ED.</w:t>
            </w:r>
          </w:p>
        </w:tc>
      </w:tr>
      <w:tr w:rsidR="00793E77" w:rsidRPr="009D513C" w:rsidTr="00793E77">
        <w:tc>
          <w:tcPr>
            <w:tcW w:w="10188" w:type="dxa"/>
            <w:gridSpan w:val="3"/>
            <w:tcBorders>
              <w:bottom w:val="single" w:sz="4" w:space="0" w:color="auto"/>
            </w:tcBorders>
          </w:tcPr>
          <w:p w:rsidR="00793E77" w:rsidRPr="009D513C" w:rsidRDefault="00793E77" w:rsidP="006C534B">
            <w:pPr>
              <w:rPr>
                <w:rFonts w:ascii="Garamond" w:hAnsi="Garamond"/>
              </w:rPr>
            </w:pPr>
            <w:r w:rsidRPr="000E61EC">
              <w:rPr>
                <w:rFonts w:ascii="Garamond" w:hAnsi="Garamond"/>
                <w:b/>
              </w:rPr>
              <w:t>Aligns with:</w:t>
            </w:r>
            <w:r>
              <w:rPr>
                <w:rFonts w:ascii="Garamond" w:hAnsi="Garamond"/>
              </w:rPr>
              <w:t xml:space="preserve"> Policy Governance principles, Governance Policies (Manual), Phase II expectations for Board activities, development.</w:t>
            </w:r>
          </w:p>
        </w:tc>
      </w:tr>
      <w:tr w:rsidR="00793E77" w:rsidRPr="009D513C" w:rsidTr="00793E77">
        <w:tc>
          <w:tcPr>
            <w:tcW w:w="5071" w:type="dxa"/>
            <w:shd w:val="clear" w:color="auto" w:fill="C0C0C0"/>
          </w:tcPr>
          <w:p w:rsidR="00793E77" w:rsidRPr="000E61EC" w:rsidRDefault="00793E77" w:rsidP="006C534B">
            <w:pPr>
              <w:rPr>
                <w:rFonts w:ascii="Garamond" w:hAnsi="Garamond"/>
                <w:b/>
              </w:rPr>
            </w:pPr>
            <w:r w:rsidRPr="000E61EC">
              <w:rPr>
                <w:rFonts w:ascii="Garamond" w:hAnsi="Garamond"/>
                <w:b/>
              </w:rPr>
              <w:t>Strategy</w:t>
            </w:r>
          </w:p>
        </w:tc>
        <w:tc>
          <w:tcPr>
            <w:tcW w:w="4127" w:type="dxa"/>
            <w:shd w:val="clear" w:color="auto" w:fill="C0C0C0"/>
          </w:tcPr>
          <w:p w:rsidR="00793E77" w:rsidRPr="000E61EC" w:rsidRDefault="00793E77" w:rsidP="006C534B">
            <w:pPr>
              <w:rPr>
                <w:rFonts w:ascii="Garamond" w:hAnsi="Garamond"/>
                <w:b/>
              </w:rPr>
            </w:pPr>
            <w:r w:rsidRPr="000E61EC">
              <w:rPr>
                <w:rFonts w:ascii="Garamond" w:hAnsi="Garamond"/>
                <w:b/>
              </w:rPr>
              <w:t>Action</w:t>
            </w:r>
          </w:p>
        </w:tc>
        <w:tc>
          <w:tcPr>
            <w:tcW w:w="990" w:type="dxa"/>
            <w:shd w:val="clear" w:color="auto" w:fill="C0C0C0"/>
          </w:tcPr>
          <w:p w:rsidR="00793E77" w:rsidRPr="000E61EC" w:rsidRDefault="00793E77" w:rsidP="006C534B">
            <w:pPr>
              <w:rPr>
                <w:rFonts w:ascii="Garamond" w:hAnsi="Garamond"/>
                <w:b/>
              </w:rPr>
            </w:pPr>
            <w:r w:rsidRPr="000E61EC">
              <w:rPr>
                <w:rFonts w:ascii="Garamond" w:hAnsi="Garamond"/>
                <w:b/>
              </w:rPr>
              <w:t>Date</w:t>
            </w:r>
          </w:p>
        </w:tc>
      </w:tr>
      <w:tr w:rsidR="00793E77" w:rsidRPr="009D513C" w:rsidTr="00793E77">
        <w:tc>
          <w:tcPr>
            <w:tcW w:w="5071" w:type="dxa"/>
          </w:tcPr>
          <w:p w:rsidR="00793E77" w:rsidRDefault="00793E77" w:rsidP="006C534B">
            <w:pPr>
              <w:rPr>
                <w:rFonts w:ascii="Garamond" w:hAnsi="Garamond"/>
              </w:rPr>
            </w:pPr>
            <w:r w:rsidRPr="009D513C">
              <w:rPr>
                <w:rFonts w:ascii="Garamond" w:hAnsi="Garamond"/>
              </w:rPr>
              <w:t>1.</w:t>
            </w:r>
            <w:r>
              <w:rPr>
                <w:rFonts w:ascii="Garamond" w:hAnsi="Garamond"/>
              </w:rPr>
              <w:t xml:space="preserve">(a.)Communicate expectations for and monitor provision of monthly reporting re: Governance Policies (Executive Limitations) and </w:t>
            </w:r>
          </w:p>
          <w:p w:rsidR="00793E77" w:rsidRDefault="00793E77" w:rsidP="006C534B">
            <w:pPr>
              <w:rPr>
                <w:rFonts w:ascii="Garamond" w:hAnsi="Garamond"/>
              </w:rPr>
            </w:pPr>
          </w:p>
          <w:p w:rsidR="00793E77" w:rsidRPr="009D513C" w:rsidRDefault="00793E77" w:rsidP="006C534B">
            <w:pPr>
              <w:rPr>
                <w:rFonts w:ascii="Garamond" w:hAnsi="Garamond"/>
              </w:rPr>
            </w:pPr>
            <w:r>
              <w:rPr>
                <w:rFonts w:ascii="Garamond" w:hAnsi="Garamond"/>
              </w:rPr>
              <w:t>(b.)provide input, feedback for improvement of resources made available by the ED for review / monitoring.</w:t>
            </w:r>
          </w:p>
        </w:tc>
        <w:tc>
          <w:tcPr>
            <w:tcW w:w="4127" w:type="dxa"/>
          </w:tcPr>
          <w:p w:rsidR="00793E77" w:rsidRDefault="00793E77" w:rsidP="006C534B">
            <w:pPr>
              <w:rPr>
                <w:rFonts w:ascii="Garamond" w:hAnsi="Garamond"/>
              </w:rPr>
            </w:pPr>
            <w:r>
              <w:rPr>
                <w:rFonts w:ascii="Garamond" w:hAnsi="Garamond"/>
              </w:rPr>
              <w:t>(a) Board orientation of ED completed on   2-7-13.</w:t>
            </w:r>
          </w:p>
          <w:p w:rsidR="00793E77" w:rsidRPr="009D513C" w:rsidRDefault="00793E77" w:rsidP="006C534B">
            <w:pPr>
              <w:rPr>
                <w:rFonts w:ascii="Garamond" w:hAnsi="Garamond"/>
              </w:rPr>
            </w:pPr>
            <w:r>
              <w:rPr>
                <w:rFonts w:ascii="Garamond" w:hAnsi="Garamond"/>
              </w:rPr>
              <w:t xml:space="preserve">(b) Board requested changes in ED report on 3-18-13. </w:t>
            </w:r>
          </w:p>
        </w:tc>
        <w:tc>
          <w:tcPr>
            <w:tcW w:w="990" w:type="dxa"/>
          </w:tcPr>
          <w:p w:rsidR="00793E77" w:rsidRDefault="00793E77" w:rsidP="006C534B">
            <w:pPr>
              <w:rPr>
                <w:rFonts w:ascii="Garamond" w:hAnsi="Garamond"/>
              </w:rPr>
            </w:pPr>
            <w:r>
              <w:rPr>
                <w:rFonts w:ascii="Garamond" w:hAnsi="Garamond"/>
              </w:rPr>
              <w:t>2-7-13</w:t>
            </w:r>
          </w:p>
          <w:p w:rsidR="00793E77" w:rsidRPr="009D513C" w:rsidRDefault="00793E77" w:rsidP="006C534B">
            <w:pPr>
              <w:rPr>
                <w:rFonts w:ascii="Garamond" w:hAnsi="Garamond"/>
              </w:rPr>
            </w:pPr>
            <w:r>
              <w:rPr>
                <w:rFonts w:ascii="Garamond" w:hAnsi="Garamond"/>
              </w:rPr>
              <w:t>3-18-13</w:t>
            </w:r>
          </w:p>
        </w:tc>
      </w:tr>
      <w:tr w:rsidR="00793E77" w:rsidRPr="009D513C" w:rsidTr="00793E77">
        <w:tc>
          <w:tcPr>
            <w:tcW w:w="5071" w:type="dxa"/>
          </w:tcPr>
          <w:p w:rsidR="00793E77" w:rsidRPr="009D513C" w:rsidRDefault="00793E77" w:rsidP="006C534B">
            <w:pPr>
              <w:rPr>
                <w:rFonts w:ascii="Garamond" w:hAnsi="Garamond"/>
              </w:rPr>
            </w:pPr>
            <w:r w:rsidRPr="009D513C">
              <w:rPr>
                <w:rFonts w:ascii="Garamond" w:hAnsi="Garamond"/>
              </w:rPr>
              <w:t>2.</w:t>
            </w:r>
            <w:r>
              <w:rPr>
                <w:rFonts w:ascii="Garamond" w:hAnsi="Garamond"/>
              </w:rPr>
              <w:t xml:space="preserve"> Clarify expectations regarding Executive Limits: Communication with and Support to the Board as outlined in the Policy Governance Manual.</w:t>
            </w:r>
          </w:p>
        </w:tc>
        <w:tc>
          <w:tcPr>
            <w:tcW w:w="4127" w:type="dxa"/>
          </w:tcPr>
          <w:p w:rsidR="00793E77" w:rsidRPr="009D513C" w:rsidRDefault="00793E77" w:rsidP="006C534B">
            <w:pPr>
              <w:rPr>
                <w:rFonts w:ascii="Garamond" w:hAnsi="Garamond"/>
              </w:rPr>
            </w:pPr>
            <w:r>
              <w:rPr>
                <w:rFonts w:ascii="Garamond" w:hAnsi="Garamond"/>
              </w:rPr>
              <w:t xml:space="preserve">Clarified in Board Governance Policies approved on 2-6-12.  Communicated in ED orientation on 2-7-13. </w:t>
            </w:r>
          </w:p>
        </w:tc>
        <w:tc>
          <w:tcPr>
            <w:tcW w:w="990" w:type="dxa"/>
          </w:tcPr>
          <w:p w:rsidR="00793E77" w:rsidRPr="009D513C" w:rsidRDefault="00793E77" w:rsidP="006C534B">
            <w:pPr>
              <w:rPr>
                <w:rFonts w:ascii="Garamond" w:hAnsi="Garamond"/>
              </w:rPr>
            </w:pPr>
            <w:r>
              <w:rPr>
                <w:rFonts w:ascii="Garamond" w:hAnsi="Garamond"/>
              </w:rPr>
              <w:t>2-7-13</w:t>
            </w:r>
          </w:p>
        </w:tc>
      </w:tr>
      <w:tr w:rsidR="00793E77" w:rsidRPr="009D513C" w:rsidTr="00793E77">
        <w:tc>
          <w:tcPr>
            <w:tcW w:w="5071" w:type="dxa"/>
          </w:tcPr>
          <w:p w:rsidR="00793E77" w:rsidRPr="009D513C" w:rsidRDefault="00793E77" w:rsidP="006C534B">
            <w:pPr>
              <w:rPr>
                <w:rFonts w:ascii="Garamond" w:hAnsi="Garamond"/>
              </w:rPr>
            </w:pPr>
            <w:r>
              <w:rPr>
                <w:rFonts w:ascii="Garamond" w:hAnsi="Garamond"/>
              </w:rPr>
              <w:t>3</w:t>
            </w:r>
            <w:r w:rsidRPr="009D513C">
              <w:rPr>
                <w:rFonts w:ascii="Garamond" w:hAnsi="Garamond"/>
              </w:rPr>
              <w:t>.</w:t>
            </w:r>
            <w:r>
              <w:rPr>
                <w:rFonts w:ascii="Garamond" w:hAnsi="Garamond"/>
              </w:rPr>
              <w:t xml:space="preserve"> Clarify expectations regarding Governance Process: Chairperson’s Role as it relates to the authority of the Chair with respect to Board – ED Linkage.</w:t>
            </w:r>
          </w:p>
        </w:tc>
        <w:tc>
          <w:tcPr>
            <w:tcW w:w="4127" w:type="dxa"/>
          </w:tcPr>
          <w:p w:rsidR="00793E77" w:rsidRPr="009D513C" w:rsidRDefault="00793E77" w:rsidP="006C534B">
            <w:pPr>
              <w:rPr>
                <w:rFonts w:ascii="Garamond" w:hAnsi="Garamond"/>
              </w:rPr>
            </w:pPr>
            <w:r>
              <w:rPr>
                <w:rFonts w:ascii="Garamond" w:hAnsi="Garamond"/>
              </w:rPr>
              <w:t>Clarified in Board Governance Policies approved on 2-6-12. Communicated in ED orientation on 2-27-13.  Reviewed at 5-20-13 Board meeting.</w:t>
            </w:r>
          </w:p>
        </w:tc>
        <w:tc>
          <w:tcPr>
            <w:tcW w:w="990" w:type="dxa"/>
          </w:tcPr>
          <w:p w:rsidR="00793E77" w:rsidRPr="009D513C" w:rsidRDefault="00793E77" w:rsidP="006C534B">
            <w:pPr>
              <w:rPr>
                <w:rFonts w:ascii="Garamond" w:hAnsi="Garamond"/>
              </w:rPr>
            </w:pPr>
            <w:r>
              <w:rPr>
                <w:rFonts w:ascii="Garamond" w:hAnsi="Garamond"/>
              </w:rPr>
              <w:t>5-20-13</w:t>
            </w:r>
          </w:p>
        </w:tc>
      </w:tr>
      <w:tr w:rsidR="00793E77" w:rsidRPr="009D513C" w:rsidTr="00793E77">
        <w:tc>
          <w:tcPr>
            <w:tcW w:w="5071" w:type="dxa"/>
          </w:tcPr>
          <w:p w:rsidR="00793E77" w:rsidRPr="009D513C" w:rsidRDefault="00793E77" w:rsidP="006C534B">
            <w:pPr>
              <w:rPr>
                <w:rFonts w:ascii="Garamond" w:hAnsi="Garamond"/>
              </w:rPr>
            </w:pPr>
            <w:r>
              <w:rPr>
                <w:rFonts w:ascii="Garamond" w:hAnsi="Garamond"/>
              </w:rPr>
              <w:t>4</w:t>
            </w:r>
            <w:r w:rsidRPr="009D513C">
              <w:rPr>
                <w:rFonts w:ascii="Garamond" w:hAnsi="Garamond"/>
              </w:rPr>
              <w:t>.</w:t>
            </w:r>
            <w:r>
              <w:rPr>
                <w:rFonts w:ascii="Garamond" w:hAnsi="Garamond"/>
              </w:rPr>
              <w:t xml:space="preserve"> Complete Orientation checklist items. (See Attached)</w:t>
            </w:r>
          </w:p>
        </w:tc>
        <w:tc>
          <w:tcPr>
            <w:tcW w:w="4127" w:type="dxa"/>
          </w:tcPr>
          <w:p w:rsidR="00793E77" w:rsidRPr="009D513C" w:rsidRDefault="00793E77" w:rsidP="006C534B">
            <w:pPr>
              <w:rPr>
                <w:rFonts w:ascii="Garamond" w:hAnsi="Garamond"/>
              </w:rPr>
            </w:pPr>
            <w:r>
              <w:rPr>
                <w:rFonts w:ascii="Garamond" w:hAnsi="Garamond"/>
              </w:rPr>
              <w:t>Completed 2-7-13</w:t>
            </w:r>
          </w:p>
        </w:tc>
        <w:tc>
          <w:tcPr>
            <w:tcW w:w="990" w:type="dxa"/>
          </w:tcPr>
          <w:p w:rsidR="00793E77" w:rsidRPr="009D513C" w:rsidRDefault="00793E77" w:rsidP="006C534B">
            <w:pPr>
              <w:rPr>
                <w:rFonts w:ascii="Garamond" w:hAnsi="Garamond"/>
              </w:rPr>
            </w:pPr>
            <w:r>
              <w:rPr>
                <w:rFonts w:ascii="Garamond" w:hAnsi="Garamond"/>
              </w:rPr>
              <w:t>2-7-13</w:t>
            </w:r>
          </w:p>
        </w:tc>
      </w:tr>
    </w:tbl>
    <w:p w:rsidR="00793E77" w:rsidRDefault="00793E77" w:rsidP="00FF5607">
      <w:pPr>
        <w:spacing w:after="100" w:afterAutospacing="1"/>
        <w:jc w:val="both"/>
        <w:rPr>
          <w:rFonts w:ascii="Times New Roman" w:hAnsi="Times New Roman" w:cs="Times New Roman"/>
          <w:b/>
        </w:rPr>
      </w:pPr>
    </w:p>
    <w:tbl>
      <w:tblPr>
        <w:tblStyle w:val="TableGrid"/>
        <w:tblW w:w="0" w:type="auto"/>
        <w:tblLook w:val="04A0" w:firstRow="1" w:lastRow="0" w:firstColumn="1" w:lastColumn="0" w:noHBand="0" w:noVBand="1"/>
      </w:tblPr>
      <w:tblGrid>
        <w:gridCol w:w="4637"/>
        <w:gridCol w:w="4478"/>
        <w:gridCol w:w="1037"/>
      </w:tblGrid>
      <w:tr w:rsidR="00793E77" w:rsidRPr="009D513C" w:rsidTr="00793E77">
        <w:tc>
          <w:tcPr>
            <w:tcW w:w="10152" w:type="dxa"/>
            <w:gridSpan w:val="3"/>
          </w:tcPr>
          <w:p w:rsidR="00793E77" w:rsidRPr="009D513C" w:rsidRDefault="00793E77" w:rsidP="006C534B">
            <w:pPr>
              <w:rPr>
                <w:rFonts w:ascii="Garamond" w:hAnsi="Garamond"/>
              </w:rPr>
            </w:pPr>
            <w:r w:rsidRPr="000E61EC">
              <w:rPr>
                <w:rFonts w:ascii="Garamond" w:hAnsi="Garamond"/>
                <w:b/>
              </w:rPr>
              <w:t xml:space="preserve">Objective </w:t>
            </w:r>
            <w:r>
              <w:rPr>
                <w:rFonts w:ascii="Garamond" w:hAnsi="Garamond"/>
                <w:b/>
              </w:rPr>
              <w:t>3</w:t>
            </w:r>
            <w:r w:rsidRPr="000E61EC">
              <w:rPr>
                <w:rFonts w:ascii="Garamond" w:hAnsi="Garamond"/>
                <w:b/>
              </w:rPr>
              <w:t xml:space="preserve"> :</w:t>
            </w:r>
            <w:r>
              <w:rPr>
                <w:rFonts w:ascii="Garamond" w:hAnsi="Garamond"/>
                <w:b/>
              </w:rPr>
              <w:t xml:space="preserve">  </w:t>
            </w:r>
            <w:r>
              <w:rPr>
                <w:rFonts w:ascii="Garamond" w:hAnsi="Garamond"/>
              </w:rPr>
              <w:t xml:space="preserve"> Assure ED Accountability and Monitoring</w:t>
            </w:r>
          </w:p>
        </w:tc>
      </w:tr>
      <w:tr w:rsidR="00793E77" w:rsidRPr="009D513C" w:rsidTr="00793E77">
        <w:tc>
          <w:tcPr>
            <w:tcW w:w="10152" w:type="dxa"/>
            <w:gridSpan w:val="3"/>
            <w:tcBorders>
              <w:bottom w:val="single" w:sz="4" w:space="0" w:color="auto"/>
            </w:tcBorders>
          </w:tcPr>
          <w:p w:rsidR="00793E77" w:rsidRPr="009D513C" w:rsidRDefault="00793E77" w:rsidP="006C534B">
            <w:pPr>
              <w:rPr>
                <w:rFonts w:ascii="Garamond" w:hAnsi="Garamond"/>
              </w:rPr>
            </w:pPr>
            <w:r w:rsidRPr="000E61EC">
              <w:rPr>
                <w:rFonts w:ascii="Garamond" w:hAnsi="Garamond"/>
                <w:b/>
              </w:rPr>
              <w:t>Aligns with:</w:t>
            </w:r>
            <w:r>
              <w:rPr>
                <w:rFonts w:ascii="Garamond" w:hAnsi="Garamond"/>
              </w:rPr>
              <w:t xml:space="preserve"> Phase II expectations for Executive limitations, monitoring policy, process.</w:t>
            </w:r>
          </w:p>
        </w:tc>
      </w:tr>
      <w:tr w:rsidR="00793E77" w:rsidRPr="009D513C" w:rsidTr="00793E77">
        <w:tc>
          <w:tcPr>
            <w:tcW w:w="4637" w:type="dxa"/>
            <w:shd w:val="clear" w:color="auto" w:fill="C0C0C0"/>
          </w:tcPr>
          <w:p w:rsidR="00793E77" w:rsidRPr="000E61EC" w:rsidRDefault="00793E77" w:rsidP="006C534B">
            <w:pPr>
              <w:rPr>
                <w:rFonts w:ascii="Garamond" w:hAnsi="Garamond"/>
                <w:b/>
              </w:rPr>
            </w:pPr>
            <w:r w:rsidRPr="000E61EC">
              <w:rPr>
                <w:rFonts w:ascii="Garamond" w:hAnsi="Garamond"/>
                <w:b/>
              </w:rPr>
              <w:t>Strategy</w:t>
            </w:r>
          </w:p>
        </w:tc>
        <w:tc>
          <w:tcPr>
            <w:tcW w:w="4478" w:type="dxa"/>
            <w:shd w:val="clear" w:color="auto" w:fill="C0C0C0"/>
          </w:tcPr>
          <w:p w:rsidR="00793E77" w:rsidRPr="000E61EC" w:rsidRDefault="00793E77" w:rsidP="006C534B">
            <w:pPr>
              <w:rPr>
                <w:rFonts w:ascii="Garamond" w:hAnsi="Garamond"/>
                <w:b/>
              </w:rPr>
            </w:pPr>
            <w:r w:rsidRPr="000E61EC">
              <w:rPr>
                <w:rFonts w:ascii="Garamond" w:hAnsi="Garamond"/>
                <w:b/>
              </w:rPr>
              <w:t>Action</w:t>
            </w:r>
          </w:p>
        </w:tc>
        <w:tc>
          <w:tcPr>
            <w:tcW w:w="1037" w:type="dxa"/>
            <w:shd w:val="clear" w:color="auto" w:fill="C0C0C0"/>
          </w:tcPr>
          <w:p w:rsidR="00793E77" w:rsidRPr="000E61EC" w:rsidRDefault="00793E77" w:rsidP="006C534B">
            <w:pPr>
              <w:rPr>
                <w:rFonts w:ascii="Garamond" w:hAnsi="Garamond"/>
                <w:b/>
              </w:rPr>
            </w:pPr>
            <w:r w:rsidRPr="000E61EC">
              <w:rPr>
                <w:rFonts w:ascii="Garamond" w:hAnsi="Garamond"/>
                <w:b/>
              </w:rPr>
              <w:t>Date</w:t>
            </w:r>
          </w:p>
        </w:tc>
      </w:tr>
      <w:tr w:rsidR="00793E77" w:rsidRPr="009D513C" w:rsidTr="00793E77">
        <w:tc>
          <w:tcPr>
            <w:tcW w:w="4637" w:type="dxa"/>
          </w:tcPr>
          <w:p w:rsidR="00793E77" w:rsidRPr="009D513C" w:rsidRDefault="00793E77" w:rsidP="006C534B">
            <w:pPr>
              <w:rPr>
                <w:rFonts w:ascii="Garamond" w:hAnsi="Garamond"/>
              </w:rPr>
            </w:pPr>
            <w:r w:rsidRPr="009D513C">
              <w:rPr>
                <w:rFonts w:ascii="Garamond" w:hAnsi="Garamond"/>
              </w:rPr>
              <w:t>1.</w:t>
            </w:r>
            <w:r>
              <w:rPr>
                <w:rFonts w:ascii="Garamond" w:hAnsi="Garamond"/>
              </w:rPr>
              <w:t xml:space="preserve">  Assure current job description is consistent with Executive limitations and linked to monitoring process. </w:t>
            </w:r>
          </w:p>
        </w:tc>
        <w:tc>
          <w:tcPr>
            <w:tcW w:w="4478" w:type="dxa"/>
          </w:tcPr>
          <w:p w:rsidR="00793E77" w:rsidRPr="009D513C" w:rsidRDefault="00793E77" w:rsidP="006C534B">
            <w:pPr>
              <w:rPr>
                <w:rFonts w:ascii="Garamond" w:hAnsi="Garamond"/>
              </w:rPr>
            </w:pPr>
            <w:r>
              <w:rPr>
                <w:rFonts w:ascii="Garamond" w:hAnsi="Garamond"/>
              </w:rPr>
              <w:t>ED job description approved by Board on 9-17-12 and provided to ED during orientation on 2-7-13.</w:t>
            </w:r>
          </w:p>
        </w:tc>
        <w:tc>
          <w:tcPr>
            <w:tcW w:w="1037" w:type="dxa"/>
          </w:tcPr>
          <w:p w:rsidR="00793E77" w:rsidRPr="009D513C" w:rsidRDefault="00793E77" w:rsidP="006C534B">
            <w:pPr>
              <w:rPr>
                <w:rFonts w:ascii="Garamond" w:hAnsi="Garamond"/>
              </w:rPr>
            </w:pPr>
            <w:r>
              <w:rPr>
                <w:rFonts w:ascii="Garamond" w:hAnsi="Garamond"/>
              </w:rPr>
              <w:t>2-7-13</w:t>
            </w:r>
          </w:p>
        </w:tc>
      </w:tr>
      <w:tr w:rsidR="00793E77" w:rsidRPr="009D513C" w:rsidTr="00793E77">
        <w:tc>
          <w:tcPr>
            <w:tcW w:w="4637" w:type="dxa"/>
          </w:tcPr>
          <w:p w:rsidR="00793E77" w:rsidRPr="009D513C" w:rsidRDefault="00793E77" w:rsidP="006C534B">
            <w:pPr>
              <w:rPr>
                <w:rFonts w:ascii="Garamond" w:hAnsi="Garamond"/>
              </w:rPr>
            </w:pPr>
            <w:r w:rsidRPr="009D513C">
              <w:rPr>
                <w:rFonts w:ascii="Garamond" w:hAnsi="Garamond"/>
              </w:rPr>
              <w:t>2.</w:t>
            </w:r>
            <w:r>
              <w:rPr>
                <w:rFonts w:ascii="Garamond" w:hAnsi="Garamond"/>
              </w:rPr>
              <w:t xml:space="preserve"> Implement agenda calendar and reporting process for ED, monitoring data provided, timeliness of reports, applicability to ENDs achievement, external/internal reports, ED interpretation of policy, etc.</w:t>
            </w:r>
          </w:p>
        </w:tc>
        <w:tc>
          <w:tcPr>
            <w:tcW w:w="4478" w:type="dxa"/>
          </w:tcPr>
          <w:p w:rsidR="00793E77" w:rsidRPr="009D513C" w:rsidRDefault="00793E77" w:rsidP="006C534B">
            <w:pPr>
              <w:rPr>
                <w:rFonts w:ascii="Garamond" w:hAnsi="Garamond"/>
              </w:rPr>
            </w:pPr>
            <w:r>
              <w:rPr>
                <w:rFonts w:ascii="Garamond" w:hAnsi="Garamond"/>
              </w:rPr>
              <w:t>Implemented ED Board reporting 3-18-13.  Modified expectations during 4-15-13 Board meeting.  Ends added 4-20-13</w:t>
            </w:r>
          </w:p>
        </w:tc>
        <w:tc>
          <w:tcPr>
            <w:tcW w:w="1037" w:type="dxa"/>
          </w:tcPr>
          <w:p w:rsidR="00793E77" w:rsidRPr="009D513C" w:rsidRDefault="00793E77" w:rsidP="006C534B">
            <w:pPr>
              <w:rPr>
                <w:rFonts w:ascii="Garamond" w:hAnsi="Garamond"/>
              </w:rPr>
            </w:pPr>
            <w:r>
              <w:rPr>
                <w:rFonts w:ascii="Garamond" w:hAnsi="Garamond"/>
              </w:rPr>
              <w:t>4-20-13</w:t>
            </w:r>
          </w:p>
        </w:tc>
      </w:tr>
    </w:tbl>
    <w:p w:rsidR="00793E77" w:rsidRDefault="00793E77" w:rsidP="00FF5607">
      <w:pPr>
        <w:spacing w:after="100" w:afterAutospacing="1"/>
        <w:jc w:val="both"/>
        <w:rPr>
          <w:rFonts w:ascii="Times New Roman" w:hAnsi="Times New Roman" w:cs="Times New Roman"/>
          <w:b/>
        </w:rPr>
      </w:pPr>
    </w:p>
    <w:p w:rsidR="00D31421" w:rsidRDefault="00D31421" w:rsidP="00FF5607">
      <w:pPr>
        <w:spacing w:after="100" w:afterAutospacing="1"/>
        <w:jc w:val="both"/>
        <w:rPr>
          <w:rFonts w:ascii="Times New Roman" w:hAnsi="Times New Roman" w:cs="Times New Roman"/>
          <w:b/>
        </w:rPr>
      </w:pPr>
      <w:r>
        <w:rPr>
          <w:rFonts w:ascii="Times New Roman" w:hAnsi="Times New Roman" w:cs="Times New Roman"/>
          <w:b/>
        </w:rPr>
        <w:t>Moved by Fowler, 2</w:t>
      </w:r>
      <w:r w:rsidRPr="00D31421">
        <w:rPr>
          <w:rFonts w:ascii="Times New Roman" w:hAnsi="Times New Roman" w:cs="Times New Roman"/>
          <w:b/>
          <w:vertAlign w:val="superscript"/>
        </w:rPr>
        <w:t>nd</w:t>
      </w:r>
      <w:r>
        <w:rPr>
          <w:rFonts w:ascii="Times New Roman" w:hAnsi="Times New Roman" w:cs="Times New Roman"/>
          <w:b/>
        </w:rPr>
        <w:t xml:space="preserve"> by Camara to amend the agenda to add the Nominations Committee meeting to the agenda.  Unanimously approved.</w:t>
      </w:r>
    </w:p>
    <w:p w:rsidR="00FF5607" w:rsidRPr="00BD05F1" w:rsidRDefault="0063545E" w:rsidP="00FF5607">
      <w:pPr>
        <w:spacing w:after="100" w:afterAutospacing="1"/>
        <w:jc w:val="both"/>
        <w:rPr>
          <w:rFonts w:ascii="Times New Roman" w:hAnsi="Times New Roman" w:cs="Times New Roman"/>
          <w:b/>
        </w:rPr>
      </w:pPr>
      <w:r>
        <w:rPr>
          <w:rFonts w:ascii="Times New Roman" w:hAnsi="Times New Roman" w:cs="Times New Roman"/>
          <w:b/>
        </w:rPr>
        <w:t xml:space="preserve">Moved by </w:t>
      </w:r>
      <w:r w:rsidR="00D31421">
        <w:rPr>
          <w:rFonts w:ascii="Times New Roman" w:hAnsi="Times New Roman" w:cs="Times New Roman"/>
          <w:b/>
        </w:rPr>
        <w:t>Camara</w:t>
      </w:r>
      <w:r>
        <w:rPr>
          <w:rFonts w:ascii="Times New Roman" w:hAnsi="Times New Roman" w:cs="Times New Roman"/>
          <w:b/>
        </w:rPr>
        <w:t xml:space="preserve">, seconded by </w:t>
      </w:r>
      <w:r w:rsidR="00D01426">
        <w:rPr>
          <w:rFonts w:ascii="Times New Roman" w:hAnsi="Times New Roman" w:cs="Times New Roman"/>
          <w:b/>
        </w:rPr>
        <w:t>Johnson</w:t>
      </w:r>
      <w:r w:rsidR="00024225">
        <w:rPr>
          <w:rFonts w:ascii="Times New Roman" w:hAnsi="Times New Roman" w:cs="Times New Roman"/>
          <w:b/>
        </w:rPr>
        <w:t xml:space="preserve"> to</w:t>
      </w:r>
      <w:r w:rsidR="00FF5607" w:rsidRPr="00BD05F1">
        <w:rPr>
          <w:rFonts w:ascii="Times New Roman" w:hAnsi="Times New Roman" w:cs="Times New Roman"/>
          <w:b/>
        </w:rPr>
        <w:t xml:space="preserve"> adjourn</w:t>
      </w:r>
      <w:r w:rsidR="00024225">
        <w:rPr>
          <w:rFonts w:ascii="Times New Roman" w:hAnsi="Times New Roman" w:cs="Times New Roman"/>
          <w:b/>
        </w:rPr>
        <w:t xml:space="preserve"> at </w:t>
      </w:r>
      <w:r w:rsidR="00D31421">
        <w:rPr>
          <w:rFonts w:ascii="Times New Roman" w:hAnsi="Times New Roman" w:cs="Times New Roman"/>
          <w:b/>
        </w:rPr>
        <w:t>12:30</w:t>
      </w:r>
      <w:r w:rsidR="00FF5607" w:rsidRPr="00BD05F1">
        <w:rPr>
          <w:rFonts w:ascii="Times New Roman" w:hAnsi="Times New Roman" w:cs="Times New Roman"/>
          <w:b/>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28" w:rsidRDefault="00070728" w:rsidP="006E230D">
      <w:pPr>
        <w:spacing w:after="0" w:line="240" w:lineRule="auto"/>
      </w:pPr>
      <w:r>
        <w:separator/>
      </w:r>
    </w:p>
  </w:endnote>
  <w:endnote w:type="continuationSeparator" w:id="0">
    <w:p w:rsidR="00070728" w:rsidRDefault="00070728"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070728" w:rsidRDefault="00A43C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0728" w:rsidRDefault="0007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28" w:rsidRDefault="00070728" w:rsidP="006E230D">
      <w:pPr>
        <w:spacing w:after="0" w:line="240" w:lineRule="auto"/>
      </w:pPr>
      <w:r>
        <w:separator/>
      </w:r>
    </w:p>
  </w:footnote>
  <w:footnote w:type="continuationSeparator" w:id="0">
    <w:p w:rsidR="00070728" w:rsidRDefault="00070728"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8924A8AE"/>
    <w:lvl w:ilvl="0" w:tplc="BE626C0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F5C52"/>
    <w:multiLevelType w:val="hybridMultilevel"/>
    <w:tmpl w:val="F758A948"/>
    <w:lvl w:ilvl="0" w:tplc="C5EA51B6">
      <w:start w:val="1"/>
      <w:numFmt w:val="bullet"/>
      <w:lvlText w:val=""/>
      <w:lvlJc w:val="left"/>
      <w:pPr>
        <w:tabs>
          <w:tab w:val="num" w:pos="720"/>
        </w:tabs>
        <w:ind w:left="720" w:hanging="360"/>
      </w:pPr>
      <w:rPr>
        <w:rFonts w:ascii="Symbol" w:hAnsi="Symbol" w:hint="default"/>
      </w:rPr>
    </w:lvl>
    <w:lvl w:ilvl="1" w:tplc="2B721AEA" w:tentative="1">
      <w:start w:val="1"/>
      <w:numFmt w:val="bullet"/>
      <w:lvlText w:val=""/>
      <w:lvlJc w:val="left"/>
      <w:pPr>
        <w:tabs>
          <w:tab w:val="num" w:pos="1440"/>
        </w:tabs>
        <w:ind w:left="1440" w:hanging="360"/>
      </w:pPr>
      <w:rPr>
        <w:rFonts w:ascii="Symbol" w:hAnsi="Symbol" w:hint="default"/>
      </w:rPr>
    </w:lvl>
    <w:lvl w:ilvl="2" w:tplc="06BA796E" w:tentative="1">
      <w:start w:val="1"/>
      <w:numFmt w:val="bullet"/>
      <w:lvlText w:val=""/>
      <w:lvlJc w:val="left"/>
      <w:pPr>
        <w:tabs>
          <w:tab w:val="num" w:pos="2160"/>
        </w:tabs>
        <w:ind w:left="2160" w:hanging="360"/>
      </w:pPr>
      <w:rPr>
        <w:rFonts w:ascii="Symbol" w:hAnsi="Symbol" w:hint="default"/>
      </w:rPr>
    </w:lvl>
    <w:lvl w:ilvl="3" w:tplc="FE849FDC" w:tentative="1">
      <w:start w:val="1"/>
      <w:numFmt w:val="bullet"/>
      <w:lvlText w:val=""/>
      <w:lvlJc w:val="left"/>
      <w:pPr>
        <w:tabs>
          <w:tab w:val="num" w:pos="2880"/>
        </w:tabs>
        <w:ind w:left="2880" w:hanging="360"/>
      </w:pPr>
      <w:rPr>
        <w:rFonts w:ascii="Symbol" w:hAnsi="Symbol" w:hint="default"/>
      </w:rPr>
    </w:lvl>
    <w:lvl w:ilvl="4" w:tplc="3E34B388" w:tentative="1">
      <w:start w:val="1"/>
      <w:numFmt w:val="bullet"/>
      <w:lvlText w:val=""/>
      <w:lvlJc w:val="left"/>
      <w:pPr>
        <w:tabs>
          <w:tab w:val="num" w:pos="3600"/>
        </w:tabs>
        <w:ind w:left="3600" w:hanging="360"/>
      </w:pPr>
      <w:rPr>
        <w:rFonts w:ascii="Symbol" w:hAnsi="Symbol" w:hint="default"/>
      </w:rPr>
    </w:lvl>
    <w:lvl w:ilvl="5" w:tplc="11D21482" w:tentative="1">
      <w:start w:val="1"/>
      <w:numFmt w:val="bullet"/>
      <w:lvlText w:val=""/>
      <w:lvlJc w:val="left"/>
      <w:pPr>
        <w:tabs>
          <w:tab w:val="num" w:pos="4320"/>
        </w:tabs>
        <w:ind w:left="4320" w:hanging="360"/>
      </w:pPr>
      <w:rPr>
        <w:rFonts w:ascii="Symbol" w:hAnsi="Symbol" w:hint="default"/>
      </w:rPr>
    </w:lvl>
    <w:lvl w:ilvl="6" w:tplc="13062EDC" w:tentative="1">
      <w:start w:val="1"/>
      <w:numFmt w:val="bullet"/>
      <w:lvlText w:val=""/>
      <w:lvlJc w:val="left"/>
      <w:pPr>
        <w:tabs>
          <w:tab w:val="num" w:pos="5040"/>
        </w:tabs>
        <w:ind w:left="5040" w:hanging="360"/>
      </w:pPr>
      <w:rPr>
        <w:rFonts w:ascii="Symbol" w:hAnsi="Symbol" w:hint="default"/>
      </w:rPr>
    </w:lvl>
    <w:lvl w:ilvl="7" w:tplc="13EA7F52" w:tentative="1">
      <w:start w:val="1"/>
      <w:numFmt w:val="bullet"/>
      <w:lvlText w:val=""/>
      <w:lvlJc w:val="left"/>
      <w:pPr>
        <w:tabs>
          <w:tab w:val="num" w:pos="5760"/>
        </w:tabs>
        <w:ind w:left="5760" w:hanging="360"/>
      </w:pPr>
      <w:rPr>
        <w:rFonts w:ascii="Symbol" w:hAnsi="Symbol" w:hint="default"/>
      </w:rPr>
    </w:lvl>
    <w:lvl w:ilvl="8" w:tplc="D768607C" w:tentative="1">
      <w:start w:val="1"/>
      <w:numFmt w:val="bullet"/>
      <w:lvlText w:val=""/>
      <w:lvlJc w:val="left"/>
      <w:pPr>
        <w:tabs>
          <w:tab w:val="num" w:pos="6480"/>
        </w:tabs>
        <w:ind w:left="6480" w:hanging="360"/>
      </w:pPr>
      <w:rPr>
        <w:rFonts w:ascii="Symbol" w:hAnsi="Symbol" w:hint="default"/>
      </w:rPr>
    </w:lvl>
  </w:abstractNum>
  <w:abstractNum w:abstractNumId="3">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2B3F31"/>
    <w:multiLevelType w:val="hybridMultilevel"/>
    <w:tmpl w:val="0E366C9A"/>
    <w:lvl w:ilvl="0" w:tplc="CFEC264A">
      <w:start w:val="1"/>
      <w:numFmt w:val="bullet"/>
      <w:lvlText w:val=""/>
      <w:lvlJc w:val="left"/>
      <w:pPr>
        <w:tabs>
          <w:tab w:val="num" w:pos="720"/>
        </w:tabs>
        <w:ind w:left="720" w:hanging="360"/>
      </w:pPr>
      <w:rPr>
        <w:rFonts w:ascii="Symbol" w:hAnsi="Symbol" w:hint="default"/>
      </w:rPr>
    </w:lvl>
    <w:lvl w:ilvl="1" w:tplc="5A92ED52">
      <w:start w:val="1"/>
      <w:numFmt w:val="bullet"/>
      <w:lvlText w:val=""/>
      <w:lvlJc w:val="left"/>
      <w:pPr>
        <w:tabs>
          <w:tab w:val="num" w:pos="1440"/>
        </w:tabs>
        <w:ind w:left="1440" w:hanging="360"/>
      </w:pPr>
      <w:rPr>
        <w:rFonts w:ascii="Symbol" w:hAnsi="Symbol" w:hint="default"/>
      </w:rPr>
    </w:lvl>
    <w:lvl w:ilvl="2" w:tplc="E94A3C64" w:tentative="1">
      <w:start w:val="1"/>
      <w:numFmt w:val="bullet"/>
      <w:lvlText w:val=""/>
      <w:lvlJc w:val="left"/>
      <w:pPr>
        <w:tabs>
          <w:tab w:val="num" w:pos="2160"/>
        </w:tabs>
        <w:ind w:left="2160" w:hanging="360"/>
      </w:pPr>
      <w:rPr>
        <w:rFonts w:ascii="Symbol" w:hAnsi="Symbol" w:hint="default"/>
      </w:rPr>
    </w:lvl>
    <w:lvl w:ilvl="3" w:tplc="2C2CD9CA" w:tentative="1">
      <w:start w:val="1"/>
      <w:numFmt w:val="bullet"/>
      <w:lvlText w:val=""/>
      <w:lvlJc w:val="left"/>
      <w:pPr>
        <w:tabs>
          <w:tab w:val="num" w:pos="2880"/>
        </w:tabs>
        <w:ind w:left="2880" w:hanging="360"/>
      </w:pPr>
      <w:rPr>
        <w:rFonts w:ascii="Symbol" w:hAnsi="Symbol" w:hint="default"/>
      </w:rPr>
    </w:lvl>
    <w:lvl w:ilvl="4" w:tplc="A192C702" w:tentative="1">
      <w:start w:val="1"/>
      <w:numFmt w:val="bullet"/>
      <w:lvlText w:val=""/>
      <w:lvlJc w:val="left"/>
      <w:pPr>
        <w:tabs>
          <w:tab w:val="num" w:pos="3600"/>
        </w:tabs>
        <w:ind w:left="3600" w:hanging="360"/>
      </w:pPr>
      <w:rPr>
        <w:rFonts w:ascii="Symbol" w:hAnsi="Symbol" w:hint="default"/>
      </w:rPr>
    </w:lvl>
    <w:lvl w:ilvl="5" w:tplc="499AFED4" w:tentative="1">
      <w:start w:val="1"/>
      <w:numFmt w:val="bullet"/>
      <w:lvlText w:val=""/>
      <w:lvlJc w:val="left"/>
      <w:pPr>
        <w:tabs>
          <w:tab w:val="num" w:pos="4320"/>
        </w:tabs>
        <w:ind w:left="4320" w:hanging="360"/>
      </w:pPr>
      <w:rPr>
        <w:rFonts w:ascii="Symbol" w:hAnsi="Symbol" w:hint="default"/>
      </w:rPr>
    </w:lvl>
    <w:lvl w:ilvl="6" w:tplc="D82CBB42" w:tentative="1">
      <w:start w:val="1"/>
      <w:numFmt w:val="bullet"/>
      <w:lvlText w:val=""/>
      <w:lvlJc w:val="left"/>
      <w:pPr>
        <w:tabs>
          <w:tab w:val="num" w:pos="5040"/>
        </w:tabs>
        <w:ind w:left="5040" w:hanging="360"/>
      </w:pPr>
      <w:rPr>
        <w:rFonts w:ascii="Symbol" w:hAnsi="Symbol" w:hint="default"/>
      </w:rPr>
    </w:lvl>
    <w:lvl w:ilvl="7" w:tplc="54800A42" w:tentative="1">
      <w:start w:val="1"/>
      <w:numFmt w:val="bullet"/>
      <w:lvlText w:val=""/>
      <w:lvlJc w:val="left"/>
      <w:pPr>
        <w:tabs>
          <w:tab w:val="num" w:pos="5760"/>
        </w:tabs>
        <w:ind w:left="5760" w:hanging="360"/>
      </w:pPr>
      <w:rPr>
        <w:rFonts w:ascii="Symbol" w:hAnsi="Symbol" w:hint="default"/>
      </w:rPr>
    </w:lvl>
    <w:lvl w:ilvl="8" w:tplc="E9DE75AA" w:tentative="1">
      <w:start w:val="1"/>
      <w:numFmt w:val="bullet"/>
      <w:lvlText w:val=""/>
      <w:lvlJc w:val="left"/>
      <w:pPr>
        <w:tabs>
          <w:tab w:val="num" w:pos="6480"/>
        </w:tabs>
        <w:ind w:left="6480" w:hanging="360"/>
      </w:pPr>
      <w:rPr>
        <w:rFonts w:ascii="Symbol" w:hAnsi="Symbol" w:hint="default"/>
      </w:rPr>
    </w:lvl>
  </w:abstractNum>
  <w:abstractNum w:abstractNumId="9">
    <w:nsid w:val="4E764539"/>
    <w:multiLevelType w:val="hybridMultilevel"/>
    <w:tmpl w:val="D8A836FC"/>
    <w:lvl w:ilvl="0" w:tplc="EDB4A0BC">
      <w:start w:val="1"/>
      <w:numFmt w:val="bullet"/>
      <w:lvlText w:val=""/>
      <w:lvlJc w:val="left"/>
      <w:pPr>
        <w:tabs>
          <w:tab w:val="num" w:pos="720"/>
        </w:tabs>
        <w:ind w:left="720" w:hanging="360"/>
      </w:pPr>
      <w:rPr>
        <w:rFonts w:ascii="Symbol" w:hAnsi="Symbol" w:hint="default"/>
      </w:rPr>
    </w:lvl>
    <w:lvl w:ilvl="1" w:tplc="E54E828E" w:tentative="1">
      <w:start w:val="1"/>
      <w:numFmt w:val="bullet"/>
      <w:lvlText w:val=""/>
      <w:lvlJc w:val="left"/>
      <w:pPr>
        <w:tabs>
          <w:tab w:val="num" w:pos="1440"/>
        </w:tabs>
        <w:ind w:left="1440" w:hanging="360"/>
      </w:pPr>
      <w:rPr>
        <w:rFonts w:ascii="Symbol" w:hAnsi="Symbol" w:hint="default"/>
      </w:rPr>
    </w:lvl>
    <w:lvl w:ilvl="2" w:tplc="0C44D338" w:tentative="1">
      <w:start w:val="1"/>
      <w:numFmt w:val="bullet"/>
      <w:lvlText w:val=""/>
      <w:lvlJc w:val="left"/>
      <w:pPr>
        <w:tabs>
          <w:tab w:val="num" w:pos="2160"/>
        </w:tabs>
        <w:ind w:left="2160" w:hanging="360"/>
      </w:pPr>
      <w:rPr>
        <w:rFonts w:ascii="Symbol" w:hAnsi="Symbol" w:hint="default"/>
      </w:rPr>
    </w:lvl>
    <w:lvl w:ilvl="3" w:tplc="973A34A0" w:tentative="1">
      <w:start w:val="1"/>
      <w:numFmt w:val="bullet"/>
      <w:lvlText w:val=""/>
      <w:lvlJc w:val="left"/>
      <w:pPr>
        <w:tabs>
          <w:tab w:val="num" w:pos="2880"/>
        </w:tabs>
        <w:ind w:left="2880" w:hanging="360"/>
      </w:pPr>
      <w:rPr>
        <w:rFonts w:ascii="Symbol" w:hAnsi="Symbol" w:hint="default"/>
      </w:rPr>
    </w:lvl>
    <w:lvl w:ilvl="4" w:tplc="562A195C" w:tentative="1">
      <w:start w:val="1"/>
      <w:numFmt w:val="bullet"/>
      <w:lvlText w:val=""/>
      <w:lvlJc w:val="left"/>
      <w:pPr>
        <w:tabs>
          <w:tab w:val="num" w:pos="3600"/>
        </w:tabs>
        <w:ind w:left="3600" w:hanging="360"/>
      </w:pPr>
      <w:rPr>
        <w:rFonts w:ascii="Symbol" w:hAnsi="Symbol" w:hint="default"/>
      </w:rPr>
    </w:lvl>
    <w:lvl w:ilvl="5" w:tplc="22EE5CE8" w:tentative="1">
      <w:start w:val="1"/>
      <w:numFmt w:val="bullet"/>
      <w:lvlText w:val=""/>
      <w:lvlJc w:val="left"/>
      <w:pPr>
        <w:tabs>
          <w:tab w:val="num" w:pos="4320"/>
        </w:tabs>
        <w:ind w:left="4320" w:hanging="360"/>
      </w:pPr>
      <w:rPr>
        <w:rFonts w:ascii="Symbol" w:hAnsi="Symbol" w:hint="default"/>
      </w:rPr>
    </w:lvl>
    <w:lvl w:ilvl="6" w:tplc="A7F60E0A" w:tentative="1">
      <w:start w:val="1"/>
      <w:numFmt w:val="bullet"/>
      <w:lvlText w:val=""/>
      <w:lvlJc w:val="left"/>
      <w:pPr>
        <w:tabs>
          <w:tab w:val="num" w:pos="5040"/>
        </w:tabs>
        <w:ind w:left="5040" w:hanging="360"/>
      </w:pPr>
      <w:rPr>
        <w:rFonts w:ascii="Symbol" w:hAnsi="Symbol" w:hint="default"/>
      </w:rPr>
    </w:lvl>
    <w:lvl w:ilvl="7" w:tplc="E424B640" w:tentative="1">
      <w:start w:val="1"/>
      <w:numFmt w:val="bullet"/>
      <w:lvlText w:val=""/>
      <w:lvlJc w:val="left"/>
      <w:pPr>
        <w:tabs>
          <w:tab w:val="num" w:pos="5760"/>
        </w:tabs>
        <w:ind w:left="5760" w:hanging="360"/>
      </w:pPr>
      <w:rPr>
        <w:rFonts w:ascii="Symbol" w:hAnsi="Symbol" w:hint="default"/>
      </w:rPr>
    </w:lvl>
    <w:lvl w:ilvl="8" w:tplc="4B9AD166" w:tentative="1">
      <w:start w:val="1"/>
      <w:numFmt w:val="bullet"/>
      <w:lvlText w:val=""/>
      <w:lvlJc w:val="left"/>
      <w:pPr>
        <w:tabs>
          <w:tab w:val="num" w:pos="6480"/>
        </w:tabs>
        <w:ind w:left="6480" w:hanging="360"/>
      </w:pPr>
      <w:rPr>
        <w:rFonts w:ascii="Symbol" w:hAnsi="Symbol" w:hint="default"/>
      </w:rPr>
    </w:lvl>
  </w:abstractNum>
  <w:abstractNum w:abstractNumId="10">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081F7A"/>
    <w:multiLevelType w:val="hybridMultilevel"/>
    <w:tmpl w:val="9F5C1632"/>
    <w:lvl w:ilvl="0" w:tplc="CB96D020">
      <w:start w:val="1"/>
      <w:numFmt w:val="bullet"/>
      <w:lvlText w:val=""/>
      <w:lvlJc w:val="left"/>
      <w:pPr>
        <w:tabs>
          <w:tab w:val="num" w:pos="720"/>
        </w:tabs>
        <w:ind w:left="720" w:hanging="360"/>
      </w:pPr>
      <w:rPr>
        <w:rFonts w:ascii="Symbol" w:hAnsi="Symbol" w:hint="default"/>
      </w:rPr>
    </w:lvl>
    <w:lvl w:ilvl="1" w:tplc="F0E2B35E" w:tentative="1">
      <w:start w:val="1"/>
      <w:numFmt w:val="bullet"/>
      <w:lvlText w:val=""/>
      <w:lvlJc w:val="left"/>
      <w:pPr>
        <w:tabs>
          <w:tab w:val="num" w:pos="1440"/>
        </w:tabs>
        <w:ind w:left="1440" w:hanging="360"/>
      </w:pPr>
      <w:rPr>
        <w:rFonts w:ascii="Symbol" w:hAnsi="Symbol" w:hint="default"/>
      </w:rPr>
    </w:lvl>
    <w:lvl w:ilvl="2" w:tplc="9F225234" w:tentative="1">
      <w:start w:val="1"/>
      <w:numFmt w:val="bullet"/>
      <w:lvlText w:val=""/>
      <w:lvlJc w:val="left"/>
      <w:pPr>
        <w:tabs>
          <w:tab w:val="num" w:pos="2160"/>
        </w:tabs>
        <w:ind w:left="2160" w:hanging="360"/>
      </w:pPr>
      <w:rPr>
        <w:rFonts w:ascii="Symbol" w:hAnsi="Symbol" w:hint="default"/>
      </w:rPr>
    </w:lvl>
    <w:lvl w:ilvl="3" w:tplc="F63CEF2A" w:tentative="1">
      <w:start w:val="1"/>
      <w:numFmt w:val="bullet"/>
      <w:lvlText w:val=""/>
      <w:lvlJc w:val="left"/>
      <w:pPr>
        <w:tabs>
          <w:tab w:val="num" w:pos="2880"/>
        </w:tabs>
        <w:ind w:left="2880" w:hanging="360"/>
      </w:pPr>
      <w:rPr>
        <w:rFonts w:ascii="Symbol" w:hAnsi="Symbol" w:hint="default"/>
      </w:rPr>
    </w:lvl>
    <w:lvl w:ilvl="4" w:tplc="E4A08F1C" w:tentative="1">
      <w:start w:val="1"/>
      <w:numFmt w:val="bullet"/>
      <w:lvlText w:val=""/>
      <w:lvlJc w:val="left"/>
      <w:pPr>
        <w:tabs>
          <w:tab w:val="num" w:pos="3600"/>
        </w:tabs>
        <w:ind w:left="3600" w:hanging="360"/>
      </w:pPr>
      <w:rPr>
        <w:rFonts w:ascii="Symbol" w:hAnsi="Symbol" w:hint="default"/>
      </w:rPr>
    </w:lvl>
    <w:lvl w:ilvl="5" w:tplc="9586CE48" w:tentative="1">
      <w:start w:val="1"/>
      <w:numFmt w:val="bullet"/>
      <w:lvlText w:val=""/>
      <w:lvlJc w:val="left"/>
      <w:pPr>
        <w:tabs>
          <w:tab w:val="num" w:pos="4320"/>
        </w:tabs>
        <w:ind w:left="4320" w:hanging="360"/>
      </w:pPr>
      <w:rPr>
        <w:rFonts w:ascii="Symbol" w:hAnsi="Symbol" w:hint="default"/>
      </w:rPr>
    </w:lvl>
    <w:lvl w:ilvl="6" w:tplc="1974F08A" w:tentative="1">
      <w:start w:val="1"/>
      <w:numFmt w:val="bullet"/>
      <w:lvlText w:val=""/>
      <w:lvlJc w:val="left"/>
      <w:pPr>
        <w:tabs>
          <w:tab w:val="num" w:pos="5040"/>
        </w:tabs>
        <w:ind w:left="5040" w:hanging="360"/>
      </w:pPr>
      <w:rPr>
        <w:rFonts w:ascii="Symbol" w:hAnsi="Symbol" w:hint="default"/>
      </w:rPr>
    </w:lvl>
    <w:lvl w:ilvl="7" w:tplc="65CCC080" w:tentative="1">
      <w:start w:val="1"/>
      <w:numFmt w:val="bullet"/>
      <w:lvlText w:val=""/>
      <w:lvlJc w:val="left"/>
      <w:pPr>
        <w:tabs>
          <w:tab w:val="num" w:pos="5760"/>
        </w:tabs>
        <w:ind w:left="5760" w:hanging="360"/>
      </w:pPr>
      <w:rPr>
        <w:rFonts w:ascii="Symbol" w:hAnsi="Symbol" w:hint="default"/>
      </w:rPr>
    </w:lvl>
    <w:lvl w:ilvl="8" w:tplc="A0BE4AD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10"/>
  </w:num>
  <w:num w:numId="4">
    <w:abstractNumId w:val="4"/>
  </w:num>
  <w:num w:numId="5">
    <w:abstractNumId w:val="11"/>
  </w:num>
  <w:num w:numId="6">
    <w:abstractNumId w:val="7"/>
  </w:num>
  <w:num w:numId="7">
    <w:abstractNumId w:val="1"/>
  </w:num>
  <w:num w:numId="8">
    <w:abstractNumId w:val="3"/>
  </w:num>
  <w:num w:numId="9">
    <w:abstractNumId w:val="6"/>
  </w:num>
  <w:num w:numId="10">
    <w:abstractNumId w:val="8"/>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0B71"/>
    <w:rsid w:val="000019A7"/>
    <w:rsid w:val="00001A8C"/>
    <w:rsid w:val="0001546A"/>
    <w:rsid w:val="00015513"/>
    <w:rsid w:val="00022421"/>
    <w:rsid w:val="00024225"/>
    <w:rsid w:val="000562D7"/>
    <w:rsid w:val="00064517"/>
    <w:rsid w:val="000648F1"/>
    <w:rsid w:val="00070728"/>
    <w:rsid w:val="00086157"/>
    <w:rsid w:val="00087C5E"/>
    <w:rsid w:val="00093293"/>
    <w:rsid w:val="000B0452"/>
    <w:rsid w:val="000B4071"/>
    <w:rsid w:val="000B6B69"/>
    <w:rsid w:val="000E14CC"/>
    <w:rsid w:val="001317DD"/>
    <w:rsid w:val="001343D9"/>
    <w:rsid w:val="00145213"/>
    <w:rsid w:val="0015726A"/>
    <w:rsid w:val="00171BBE"/>
    <w:rsid w:val="001745E1"/>
    <w:rsid w:val="001917F6"/>
    <w:rsid w:val="001A3286"/>
    <w:rsid w:val="001F5504"/>
    <w:rsid w:val="001F60E8"/>
    <w:rsid w:val="00202184"/>
    <w:rsid w:val="002333FE"/>
    <w:rsid w:val="002442EE"/>
    <w:rsid w:val="0024615B"/>
    <w:rsid w:val="00264124"/>
    <w:rsid w:val="00272FB2"/>
    <w:rsid w:val="00274324"/>
    <w:rsid w:val="0027613C"/>
    <w:rsid w:val="002A4681"/>
    <w:rsid w:val="002B1257"/>
    <w:rsid w:val="002D4B3B"/>
    <w:rsid w:val="002D5031"/>
    <w:rsid w:val="002D74FC"/>
    <w:rsid w:val="002F29D1"/>
    <w:rsid w:val="0031392B"/>
    <w:rsid w:val="00317E14"/>
    <w:rsid w:val="003255C1"/>
    <w:rsid w:val="003331FE"/>
    <w:rsid w:val="003523BC"/>
    <w:rsid w:val="00360C67"/>
    <w:rsid w:val="0037235A"/>
    <w:rsid w:val="003F4D19"/>
    <w:rsid w:val="00413DBB"/>
    <w:rsid w:val="004276EF"/>
    <w:rsid w:val="00440EE1"/>
    <w:rsid w:val="00443C3B"/>
    <w:rsid w:val="0045624B"/>
    <w:rsid w:val="0047218A"/>
    <w:rsid w:val="00483B09"/>
    <w:rsid w:val="0049170F"/>
    <w:rsid w:val="004B1F60"/>
    <w:rsid w:val="004C293B"/>
    <w:rsid w:val="004C6555"/>
    <w:rsid w:val="004E73F6"/>
    <w:rsid w:val="00502DD3"/>
    <w:rsid w:val="0050568D"/>
    <w:rsid w:val="00506EC8"/>
    <w:rsid w:val="00522309"/>
    <w:rsid w:val="005371AF"/>
    <w:rsid w:val="00566607"/>
    <w:rsid w:val="00570826"/>
    <w:rsid w:val="00575016"/>
    <w:rsid w:val="00597086"/>
    <w:rsid w:val="005A6AC6"/>
    <w:rsid w:val="005B184A"/>
    <w:rsid w:val="005B7525"/>
    <w:rsid w:val="005F4B48"/>
    <w:rsid w:val="006243AC"/>
    <w:rsid w:val="0063545E"/>
    <w:rsid w:val="006411E1"/>
    <w:rsid w:val="00642218"/>
    <w:rsid w:val="006555CB"/>
    <w:rsid w:val="006651CC"/>
    <w:rsid w:val="00665809"/>
    <w:rsid w:val="00671D88"/>
    <w:rsid w:val="006845F0"/>
    <w:rsid w:val="006A30E0"/>
    <w:rsid w:val="006B71E6"/>
    <w:rsid w:val="006E230D"/>
    <w:rsid w:val="006E3E5E"/>
    <w:rsid w:val="006E417C"/>
    <w:rsid w:val="006F2B05"/>
    <w:rsid w:val="00701A85"/>
    <w:rsid w:val="00710B8D"/>
    <w:rsid w:val="00710BEC"/>
    <w:rsid w:val="007121E7"/>
    <w:rsid w:val="00793E77"/>
    <w:rsid w:val="007A6295"/>
    <w:rsid w:val="007A7347"/>
    <w:rsid w:val="007B4807"/>
    <w:rsid w:val="007B62E7"/>
    <w:rsid w:val="007C66E3"/>
    <w:rsid w:val="007D2812"/>
    <w:rsid w:val="007D5AC4"/>
    <w:rsid w:val="007D6A76"/>
    <w:rsid w:val="007E29DA"/>
    <w:rsid w:val="007F501A"/>
    <w:rsid w:val="00842C3F"/>
    <w:rsid w:val="00852115"/>
    <w:rsid w:val="008551F8"/>
    <w:rsid w:val="0086217F"/>
    <w:rsid w:val="0086617F"/>
    <w:rsid w:val="008738FC"/>
    <w:rsid w:val="008847A6"/>
    <w:rsid w:val="0089223C"/>
    <w:rsid w:val="00893FD5"/>
    <w:rsid w:val="008A11A5"/>
    <w:rsid w:val="008B09BC"/>
    <w:rsid w:val="008C7B67"/>
    <w:rsid w:val="008E143A"/>
    <w:rsid w:val="00900B29"/>
    <w:rsid w:val="0091076D"/>
    <w:rsid w:val="00920C6D"/>
    <w:rsid w:val="00923311"/>
    <w:rsid w:val="00925E11"/>
    <w:rsid w:val="00934789"/>
    <w:rsid w:val="00942D32"/>
    <w:rsid w:val="00944499"/>
    <w:rsid w:val="0096567B"/>
    <w:rsid w:val="00971237"/>
    <w:rsid w:val="009A4037"/>
    <w:rsid w:val="009A4CF2"/>
    <w:rsid w:val="009A7A2B"/>
    <w:rsid w:val="009C171F"/>
    <w:rsid w:val="009F3C19"/>
    <w:rsid w:val="00A211BA"/>
    <w:rsid w:val="00A2144C"/>
    <w:rsid w:val="00A302EE"/>
    <w:rsid w:val="00A412FA"/>
    <w:rsid w:val="00A43C1B"/>
    <w:rsid w:val="00A45B3B"/>
    <w:rsid w:val="00A50F03"/>
    <w:rsid w:val="00A52A20"/>
    <w:rsid w:val="00A64FF3"/>
    <w:rsid w:val="00A75F0B"/>
    <w:rsid w:val="00A9229D"/>
    <w:rsid w:val="00A96E16"/>
    <w:rsid w:val="00A973C2"/>
    <w:rsid w:val="00AA3868"/>
    <w:rsid w:val="00AA3B39"/>
    <w:rsid w:val="00AA6C96"/>
    <w:rsid w:val="00AD55B6"/>
    <w:rsid w:val="00AD7B7F"/>
    <w:rsid w:val="00B147CB"/>
    <w:rsid w:val="00B35CDB"/>
    <w:rsid w:val="00B41586"/>
    <w:rsid w:val="00B80368"/>
    <w:rsid w:val="00B94E64"/>
    <w:rsid w:val="00B95213"/>
    <w:rsid w:val="00BC55B3"/>
    <w:rsid w:val="00BD05F1"/>
    <w:rsid w:val="00BE19C5"/>
    <w:rsid w:val="00C11EDE"/>
    <w:rsid w:val="00C26476"/>
    <w:rsid w:val="00C36F2A"/>
    <w:rsid w:val="00C8396F"/>
    <w:rsid w:val="00C87DC4"/>
    <w:rsid w:val="00C93C0B"/>
    <w:rsid w:val="00C9415F"/>
    <w:rsid w:val="00CD33AA"/>
    <w:rsid w:val="00CD4A92"/>
    <w:rsid w:val="00CE525C"/>
    <w:rsid w:val="00D01426"/>
    <w:rsid w:val="00D12CE6"/>
    <w:rsid w:val="00D1311A"/>
    <w:rsid w:val="00D22BA9"/>
    <w:rsid w:val="00D23440"/>
    <w:rsid w:val="00D31421"/>
    <w:rsid w:val="00D42EE3"/>
    <w:rsid w:val="00D507B4"/>
    <w:rsid w:val="00D6353F"/>
    <w:rsid w:val="00D77D7B"/>
    <w:rsid w:val="00DA7D31"/>
    <w:rsid w:val="00DB2159"/>
    <w:rsid w:val="00DD706C"/>
    <w:rsid w:val="00DF3FF4"/>
    <w:rsid w:val="00E01567"/>
    <w:rsid w:val="00E20573"/>
    <w:rsid w:val="00E4141A"/>
    <w:rsid w:val="00E56A0F"/>
    <w:rsid w:val="00E82A6E"/>
    <w:rsid w:val="00EA501E"/>
    <w:rsid w:val="00EC1A6F"/>
    <w:rsid w:val="00EC5D8E"/>
    <w:rsid w:val="00ED7403"/>
    <w:rsid w:val="00EF0C2C"/>
    <w:rsid w:val="00F029DC"/>
    <w:rsid w:val="00F229EE"/>
    <w:rsid w:val="00F35250"/>
    <w:rsid w:val="00F35F4D"/>
    <w:rsid w:val="00F55908"/>
    <w:rsid w:val="00F57429"/>
    <w:rsid w:val="00F65454"/>
    <w:rsid w:val="00F65910"/>
    <w:rsid w:val="00F67E51"/>
    <w:rsid w:val="00FA537C"/>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93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93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5907">
      <w:bodyDiv w:val="1"/>
      <w:marLeft w:val="0"/>
      <w:marRight w:val="0"/>
      <w:marTop w:val="0"/>
      <w:marBottom w:val="0"/>
      <w:divBdr>
        <w:top w:val="none" w:sz="0" w:space="0" w:color="auto"/>
        <w:left w:val="none" w:sz="0" w:space="0" w:color="auto"/>
        <w:bottom w:val="none" w:sz="0" w:space="0" w:color="auto"/>
        <w:right w:val="none" w:sz="0" w:space="0" w:color="auto"/>
      </w:divBdr>
      <w:divsChild>
        <w:div w:id="2015960535">
          <w:marLeft w:val="432"/>
          <w:marRight w:val="0"/>
          <w:marTop w:val="115"/>
          <w:marBottom w:val="0"/>
          <w:divBdr>
            <w:top w:val="none" w:sz="0" w:space="0" w:color="auto"/>
            <w:left w:val="none" w:sz="0" w:space="0" w:color="auto"/>
            <w:bottom w:val="none" w:sz="0" w:space="0" w:color="auto"/>
            <w:right w:val="none" w:sz="0" w:space="0" w:color="auto"/>
          </w:divBdr>
        </w:div>
        <w:div w:id="1260026326">
          <w:marLeft w:val="432"/>
          <w:marRight w:val="0"/>
          <w:marTop w:val="115"/>
          <w:marBottom w:val="0"/>
          <w:divBdr>
            <w:top w:val="none" w:sz="0" w:space="0" w:color="auto"/>
            <w:left w:val="none" w:sz="0" w:space="0" w:color="auto"/>
            <w:bottom w:val="none" w:sz="0" w:space="0" w:color="auto"/>
            <w:right w:val="none" w:sz="0" w:space="0" w:color="auto"/>
          </w:divBdr>
        </w:div>
        <w:div w:id="685133546">
          <w:marLeft w:val="432"/>
          <w:marRight w:val="0"/>
          <w:marTop w:val="115"/>
          <w:marBottom w:val="0"/>
          <w:divBdr>
            <w:top w:val="none" w:sz="0" w:space="0" w:color="auto"/>
            <w:left w:val="none" w:sz="0" w:space="0" w:color="auto"/>
            <w:bottom w:val="none" w:sz="0" w:space="0" w:color="auto"/>
            <w:right w:val="none" w:sz="0" w:space="0" w:color="auto"/>
          </w:divBdr>
        </w:div>
        <w:div w:id="2000764559">
          <w:marLeft w:val="432"/>
          <w:marRight w:val="0"/>
          <w:marTop w:val="115"/>
          <w:marBottom w:val="0"/>
          <w:divBdr>
            <w:top w:val="none" w:sz="0" w:space="0" w:color="auto"/>
            <w:left w:val="none" w:sz="0" w:space="0" w:color="auto"/>
            <w:bottom w:val="none" w:sz="0" w:space="0" w:color="auto"/>
            <w:right w:val="none" w:sz="0" w:space="0" w:color="auto"/>
          </w:divBdr>
        </w:div>
      </w:divsChild>
    </w:div>
    <w:div w:id="611745347">
      <w:bodyDiv w:val="1"/>
      <w:marLeft w:val="0"/>
      <w:marRight w:val="0"/>
      <w:marTop w:val="0"/>
      <w:marBottom w:val="0"/>
      <w:divBdr>
        <w:top w:val="none" w:sz="0" w:space="0" w:color="auto"/>
        <w:left w:val="none" w:sz="0" w:space="0" w:color="auto"/>
        <w:bottom w:val="none" w:sz="0" w:space="0" w:color="auto"/>
        <w:right w:val="none" w:sz="0" w:space="0" w:color="auto"/>
      </w:divBdr>
      <w:divsChild>
        <w:div w:id="970749571">
          <w:marLeft w:val="432"/>
          <w:marRight w:val="0"/>
          <w:marTop w:val="115"/>
          <w:marBottom w:val="0"/>
          <w:divBdr>
            <w:top w:val="none" w:sz="0" w:space="0" w:color="auto"/>
            <w:left w:val="none" w:sz="0" w:space="0" w:color="auto"/>
            <w:bottom w:val="none" w:sz="0" w:space="0" w:color="auto"/>
            <w:right w:val="none" w:sz="0" w:space="0" w:color="auto"/>
          </w:divBdr>
        </w:div>
        <w:div w:id="737246231">
          <w:marLeft w:val="432"/>
          <w:marRight w:val="0"/>
          <w:marTop w:val="115"/>
          <w:marBottom w:val="0"/>
          <w:divBdr>
            <w:top w:val="none" w:sz="0" w:space="0" w:color="auto"/>
            <w:left w:val="none" w:sz="0" w:space="0" w:color="auto"/>
            <w:bottom w:val="none" w:sz="0" w:space="0" w:color="auto"/>
            <w:right w:val="none" w:sz="0" w:space="0" w:color="auto"/>
          </w:divBdr>
        </w:div>
      </w:divsChild>
    </w:div>
    <w:div w:id="773861177">
      <w:bodyDiv w:val="1"/>
      <w:marLeft w:val="0"/>
      <w:marRight w:val="0"/>
      <w:marTop w:val="0"/>
      <w:marBottom w:val="0"/>
      <w:divBdr>
        <w:top w:val="none" w:sz="0" w:space="0" w:color="auto"/>
        <w:left w:val="none" w:sz="0" w:space="0" w:color="auto"/>
        <w:bottom w:val="none" w:sz="0" w:space="0" w:color="auto"/>
        <w:right w:val="none" w:sz="0" w:space="0" w:color="auto"/>
      </w:divBdr>
      <w:divsChild>
        <w:div w:id="706374001">
          <w:marLeft w:val="432"/>
          <w:marRight w:val="0"/>
          <w:marTop w:val="115"/>
          <w:marBottom w:val="0"/>
          <w:divBdr>
            <w:top w:val="none" w:sz="0" w:space="0" w:color="auto"/>
            <w:left w:val="none" w:sz="0" w:space="0" w:color="auto"/>
            <w:bottom w:val="none" w:sz="0" w:space="0" w:color="auto"/>
            <w:right w:val="none" w:sz="0" w:space="0" w:color="auto"/>
          </w:divBdr>
        </w:div>
      </w:divsChild>
    </w:div>
    <w:div w:id="1193762043">
      <w:bodyDiv w:val="1"/>
      <w:marLeft w:val="0"/>
      <w:marRight w:val="0"/>
      <w:marTop w:val="0"/>
      <w:marBottom w:val="0"/>
      <w:divBdr>
        <w:top w:val="none" w:sz="0" w:space="0" w:color="auto"/>
        <w:left w:val="none" w:sz="0" w:space="0" w:color="auto"/>
        <w:bottom w:val="none" w:sz="0" w:space="0" w:color="auto"/>
        <w:right w:val="none" w:sz="0" w:space="0" w:color="auto"/>
      </w:divBdr>
      <w:divsChild>
        <w:div w:id="1909807716">
          <w:marLeft w:val="432"/>
          <w:marRight w:val="0"/>
          <w:marTop w:val="106"/>
          <w:marBottom w:val="0"/>
          <w:divBdr>
            <w:top w:val="none" w:sz="0" w:space="0" w:color="auto"/>
            <w:left w:val="none" w:sz="0" w:space="0" w:color="auto"/>
            <w:bottom w:val="none" w:sz="0" w:space="0" w:color="auto"/>
            <w:right w:val="none" w:sz="0" w:space="0" w:color="auto"/>
          </w:divBdr>
        </w:div>
        <w:div w:id="1276211390">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7FFB-7C44-4C95-A59A-0998466E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2013-05-03T05:32:00Z</cp:lastPrinted>
  <dcterms:created xsi:type="dcterms:W3CDTF">2013-06-12T20:05:00Z</dcterms:created>
  <dcterms:modified xsi:type="dcterms:W3CDTF">2013-06-12T20:05:00Z</dcterms:modified>
</cp:coreProperties>
</file>